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26184244"/>
        <w:docPartObj>
          <w:docPartGallery w:val="Cover Pages"/>
          <w:docPartUnique/>
        </w:docPartObj>
      </w:sdtPr>
      <w:sdtContent>
        <w:p w:rsidR="00A707FC" w:rsidRDefault="00FB7DD9" w:rsidP="004138AE">
          <w:pPr>
            <w:rPr>
              <w:rFonts w:ascii="Times New Roman" w:hAnsi="Times New Roman" w:cs="Times New Roman"/>
              <w:sz w:val="24"/>
              <w:szCs w:val="24"/>
            </w:rPr>
            <w:sectPr w:rsidR="00A707FC" w:rsidSect="00886C4C">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r>
            <w:rPr>
              <w:rFonts w:ascii="Times New Roman" w:hAnsi="Times New Roman" w:cs="Times New Roman"/>
              <w:noProof/>
              <w:sz w:val="24"/>
              <w:szCs w:val="24"/>
            </w:rPr>
            <w:pict>
              <v:rect id="_x0000_s1032" style="position:absolute;left:0;text-align:left;margin-left:-.3pt;margin-top:198.3pt;width:612.9pt;height:75.9pt;z-index:251722752;mso-position-horizontal-relative:page;mso-position-vertical-relative:page;v-text-anchor:middle" o:allowincell="f" fillcolor="#4f81bd [3204]" strokecolor="white [3212]" strokeweight="1pt">
                <v:fill color2="#365f91 [2404]"/>
                <v:shadow color="#d8d8d8 [2732]" offset="3pt,3pt" offset2="2pt,2pt"/>
                <v:textbox style="mso-next-textbox:#_x0000_s1032" inset="14.4pt,,14.4pt">
                  <w:txbxContent>
                    <w:sdt>
                      <w:sdtPr>
                        <w:rPr>
                          <w:rFonts w:asciiTheme="majorHAnsi" w:eastAsiaTheme="majorEastAsia" w:hAnsiTheme="majorHAnsi" w:cstheme="majorBidi"/>
                          <w:color w:val="FFFFFF" w:themeColor="background1"/>
                          <w:sz w:val="56"/>
                          <w:szCs w:val="56"/>
                        </w:rPr>
                        <w:alias w:val="Title"/>
                        <w:id w:val="9797419"/>
                        <w:dataBinding w:prefixMappings="xmlns:ns0='http://schemas.openxmlformats.org/package/2006/metadata/core-properties' xmlns:ns1='http://purl.org/dc/elements/1.1/'" w:xpath="/ns0:coreProperties[1]/ns1:title[1]" w:storeItemID="{6C3C8BC8-F283-45AE-878A-BAB7291924A1}"/>
                        <w:text/>
                      </w:sdtPr>
                      <w:sdtContent>
                        <w:p w:rsidR="00F86120" w:rsidRDefault="00F86120" w:rsidP="00A707FC">
                          <w:pPr>
                            <w:pStyle w:val="NoSpacing"/>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FFFFFF" w:themeColor="background1"/>
                              <w:sz w:val="56"/>
                              <w:szCs w:val="56"/>
                            </w:rPr>
                            <w:t>DOMLEC’s Annual Performance Report 2016</w:t>
                          </w:r>
                        </w:p>
                      </w:sdtContent>
                    </w:sdt>
                    <w:p w:rsidR="00F86120" w:rsidRPr="00EE5AA4" w:rsidRDefault="003A328F" w:rsidP="00A707FC">
                      <w:pPr>
                        <w:pStyle w:val="NoSpacing"/>
                        <w:rPr>
                          <w:rFonts w:asciiTheme="majorHAnsi" w:eastAsiaTheme="majorEastAsia" w:hAnsiTheme="majorHAnsi" w:cstheme="majorBidi"/>
                          <w:color w:val="FFFFFF" w:themeColor="background1"/>
                          <w:sz w:val="20"/>
                          <w:szCs w:val="20"/>
                        </w:rPr>
                      </w:pPr>
                      <w:r>
                        <w:rPr>
                          <w:rFonts w:asciiTheme="majorHAnsi" w:eastAsiaTheme="majorEastAsia" w:hAnsiTheme="majorHAnsi" w:cstheme="majorBidi"/>
                          <w:color w:val="FFFFFF" w:themeColor="background1"/>
                          <w:sz w:val="20"/>
                          <w:szCs w:val="20"/>
                        </w:rPr>
                        <w:t>Version 1.0</w:t>
                      </w:r>
                    </w:p>
                  </w:txbxContent>
                </v:textbox>
                <w10:wrap anchorx="page" anchory="page"/>
              </v:rect>
            </w:pict>
          </w:r>
          <w:r>
            <w:rPr>
              <w:rFonts w:ascii="Times New Roman" w:hAnsi="Times New Roman" w:cs="Times New Roman"/>
              <w:noProof/>
              <w:sz w:val="24"/>
              <w:szCs w:val="24"/>
            </w:rPr>
            <w:pict>
              <v:group id="_x0000_s1026" style="position:absolute;left:0;text-align:left;margin-left:354.75pt;margin-top:.4pt;width:268.1pt;height:791.6pt;z-index:251681792;mso-position-horizontal-relative:page;mso-position-vertical-relative:page"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3"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F86120" w:rsidRDefault="00F86120">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F86120" w:rsidRPr="005F4F11" w:rsidRDefault="00F86120" w:rsidP="0023767E">
                        <w:pPr>
                          <w:pStyle w:val="NoSpacing"/>
                          <w:ind w:hanging="360"/>
                          <w:rPr>
                            <w:b/>
                            <w:sz w:val="18"/>
                            <w:szCs w:val="18"/>
                          </w:rPr>
                        </w:pPr>
                        <w:r>
                          <w:rPr>
                            <w:b/>
                            <w:sz w:val="18"/>
                            <w:szCs w:val="18"/>
                          </w:rPr>
                          <w:t xml:space="preserve"> </w:t>
                        </w:r>
                        <w:r w:rsidRPr="005F4F11">
                          <w:rPr>
                            <w:b/>
                            <w:sz w:val="18"/>
                            <w:szCs w:val="18"/>
                          </w:rPr>
                          <w:t>Prepared by:</w:t>
                        </w:r>
                      </w:p>
                      <w:p w:rsidR="00F86120" w:rsidRPr="005F4F11" w:rsidRDefault="00F86120" w:rsidP="0023767E">
                        <w:pPr>
                          <w:pStyle w:val="NoSpacing"/>
                          <w:ind w:hanging="360"/>
                          <w:rPr>
                            <w:b/>
                            <w:sz w:val="18"/>
                            <w:szCs w:val="18"/>
                          </w:rPr>
                        </w:pPr>
                        <w:r>
                          <w:rPr>
                            <w:b/>
                            <w:sz w:val="18"/>
                            <w:szCs w:val="18"/>
                          </w:rPr>
                          <w:t xml:space="preserve"> </w:t>
                        </w:r>
                        <w:r w:rsidRPr="005F4F11">
                          <w:rPr>
                            <w:b/>
                            <w:sz w:val="18"/>
                            <w:szCs w:val="18"/>
                          </w:rPr>
                          <w:t xml:space="preserve">Mrs. Connie </w:t>
                        </w:r>
                        <w:r>
                          <w:rPr>
                            <w:b/>
                            <w:sz w:val="18"/>
                            <w:szCs w:val="18"/>
                          </w:rPr>
                          <w:t xml:space="preserve">Joseph-Louis </w:t>
                        </w:r>
                      </w:p>
                      <w:p w:rsidR="00F86120" w:rsidRDefault="00F86120" w:rsidP="0023767E">
                        <w:pPr>
                          <w:pStyle w:val="NoSpacing"/>
                          <w:ind w:hanging="360"/>
                          <w:rPr>
                            <w:b/>
                            <w:sz w:val="18"/>
                            <w:szCs w:val="18"/>
                          </w:rPr>
                        </w:pPr>
                        <w:r w:rsidRPr="005F4F11">
                          <w:rPr>
                            <w:b/>
                            <w:sz w:val="18"/>
                            <w:szCs w:val="18"/>
                          </w:rPr>
                          <w:t xml:space="preserve"> Mr.</w:t>
                        </w:r>
                        <w:r>
                          <w:rPr>
                            <w:b/>
                            <w:sz w:val="18"/>
                            <w:szCs w:val="18"/>
                          </w:rPr>
                          <w:t xml:space="preserve"> Justinn Kase </w:t>
                        </w:r>
                      </w:p>
                      <w:p w:rsidR="00F86120" w:rsidRDefault="00F86120" w:rsidP="0023767E">
                        <w:pPr>
                          <w:pStyle w:val="NoSpacing"/>
                          <w:ind w:hanging="360"/>
                          <w:rPr>
                            <w:b/>
                            <w:sz w:val="18"/>
                            <w:szCs w:val="18"/>
                          </w:rPr>
                        </w:pPr>
                      </w:p>
                      <w:p w:rsidR="00F86120" w:rsidRPr="004A0876" w:rsidRDefault="00F86120" w:rsidP="00024DC7">
                        <w:pPr>
                          <w:pStyle w:val="NoSpacing"/>
                          <w:ind w:hanging="360"/>
                          <w:rPr>
                            <w:b/>
                            <w:sz w:val="18"/>
                            <w:szCs w:val="18"/>
                          </w:rPr>
                        </w:pPr>
                        <w:r>
                          <w:rPr>
                            <w:b/>
                            <w:sz w:val="18"/>
                            <w:szCs w:val="18"/>
                          </w:rPr>
                          <w:t xml:space="preserve"> </w:t>
                        </w:r>
                      </w:p>
                      <w:p w:rsidR="00F86120" w:rsidRPr="004A0876" w:rsidRDefault="00F86120" w:rsidP="004A0876">
                        <w:pPr>
                          <w:pStyle w:val="NoSpacing"/>
                          <w:ind w:hanging="360"/>
                          <w:rPr>
                            <w:b/>
                            <w:sz w:val="18"/>
                            <w:szCs w:val="18"/>
                          </w:rPr>
                        </w:pPr>
                      </w:p>
                    </w:txbxContent>
                  </v:textbox>
                </v:rect>
                <w10:wrap anchorx="page" anchory="page"/>
              </v:group>
            </w:pict>
          </w:r>
          <w:r w:rsidR="00CD1DA3" w:rsidRPr="00CD1DA3">
            <w:rPr>
              <w:rFonts w:ascii="Times New Roman" w:hAnsi="Times New Roman" w:cs="Times New Roman"/>
              <w:noProof/>
              <w:sz w:val="24"/>
              <w:szCs w:val="24"/>
            </w:rPr>
            <w:drawing>
              <wp:anchor distT="0" distB="0" distL="114300" distR="114300" simplePos="0" relativeHeight="251724800" behindDoc="0" locked="0" layoutInCell="1" allowOverlap="1">
                <wp:simplePos x="0" y="0"/>
                <wp:positionH relativeFrom="column">
                  <wp:posOffset>-872103</wp:posOffset>
                </wp:positionH>
                <wp:positionV relativeFrom="paragraph">
                  <wp:posOffset>2541722</wp:posOffset>
                </wp:positionV>
                <wp:extent cx="4436713" cy="6656522"/>
                <wp:effectExtent l="1905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438650" cy="6659880"/>
                        </a:xfrm>
                        <a:prstGeom prst="rect">
                          <a:avLst/>
                        </a:prstGeom>
                        <a:noFill/>
                        <a:ln w="9525">
                          <a:noFill/>
                          <a:miter lim="800000"/>
                          <a:headEnd/>
                          <a:tailEnd/>
                        </a:ln>
                      </pic:spPr>
                    </pic:pic>
                  </a:graphicData>
                </a:graphic>
              </wp:anchor>
            </w:drawing>
          </w:r>
          <w:r w:rsidR="007712E1" w:rsidRPr="00215C1B">
            <w:rPr>
              <w:rFonts w:ascii="Times New Roman" w:hAnsi="Times New Roman" w:cs="Times New Roman"/>
              <w:noProof/>
              <w:sz w:val="24"/>
              <w:szCs w:val="24"/>
            </w:rPr>
            <w:drawing>
              <wp:inline distT="0" distB="0" distL="0" distR="0">
                <wp:extent cx="2895600" cy="1543050"/>
                <wp:effectExtent l="19050" t="0" r="0" b="0"/>
                <wp:docPr id="11" name="Picture 1" descr="cid:image001.png@01D28D20.CF9FE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D20.CF9FEC40"/>
                        <pic:cNvPicPr>
                          <a:picLocks noChangeAspect="1" noChangeArrowheads="1"/>
                        </pic:cNvPicPr>
                      </pic:nvPicPr>
                      <pic:blipFill>
                        <a:blip r:embed="rId15" r:link="rId16" cstate="print"/>
                        <a:srcRect/>
                        <a:stretch>
                          <a:fillRect/>
                        </a:stretch>
                      </pic:blipFill>
                      <pic:spPr bwMode="auto">
                        <a:xfrm>
                          <a:off x="0" y="0"/>
                          <a:ext cx="2895600" cy="1543050"/>
                        </a:xfrm>
                        <a:prstGeom prst="rect">
                          <a:avLst/>
                        </a:prstGeom>
                        <a:noFill/>
                        <a:ln w="9525">
                          <a:noFill/>
                          <a:miter lim="800000"/>
                          <a:headEnd/>
                          <a:tailEnd/>
                        </a:ln>
                      </pic:spPr>
                    </pic:pic>
                  </a:graphicData>
                </a:graphic>
              </wp:inline>
            </w:drawing>
          </w:r>
        </w:p>
        <w:p w:rsidR="00D07323" w:rsidRDefault="00D07323" w:rsidP="00D07323">
          <w:pPr>
            <w:shd w:val="clear" w:color="auto" w:fill="D9D9D9" w:themeFill="background1" w:themeFillShade="D9"/>
            <w:jc w:val="center"/>
            <w:rPr>
              <w:rFonts w:ascii="Times New Roman" w:hAnsi="Times New Roman" w:cs="Times New Roman"/>
              <w:b/>
              <w:color w:val="0D0D0D" w:themeColor="text1" w:themeTint="F2"/>
              <w:sz w:val="32"/>
              <w:szCs w:val="32"/>
            </w:rPr>
          </w:pPr>
          <w:r w:rsidRPr="00051167">
            <w:rPr>
              <w:rFonts w:ascii="Times New Roman" w:hAnsi="Times New Roman" w:cs="Times New Roman"/>
              <w:b/>
              <w:color w:val="0D0D0D" w:themeColor="text1" w:themeTint="F2"/>
              <w:sz w:val="32"/>
              <w:szCs w:val="32"/>
            </w:rPr>
            <w:lastRenderedPageBreak/>
            <w:t>Table of Contents</w:t>
          </w:r>
        </w:p>
        <w:p w:rsidR="00D07323" w:rsidRPr="00051167" w:rsidRDefault="00D07323" w:rsidP="00D07323">
          <w:pPr>
            <w:jc w:val="center"/>
            <w:rPr>
              <w:rFonts w:ascii="Times New Roman" w:hAnsi="Times New Roman" w:cs="Times New Roman"/>
              <w:b/>
              <w:color w:val="0D0D0D" w:themeColor="text1" w:themeTint="F2"/>
              <w:sz w:val="32"/>
              <w:szCs w:val="32"/>
            </w:rPr>
          </w:pPr>
        </w:p>
        <w:p w:rsidR="00B40EDC" w:rsidRDefault="005A3DA6" w:rsidP="00D07323">
          <w:pPr>
            <w:spacing w:line="276" w:lineRule="auto"/>
            <w:rPr>
              <w:rFonts w:ascii="Times New Roman" w:hAnsi="Times New Roman" w:cs="Times New Roman"/>
              <w:b/>
              <w:sz w:val="26"/>
              <w:szCs w:val="26"/>
            </w:rPr>
          </w:pPr>
          <w:r>
            <w:rPr>
              <w:rFonts w:ascii="Times New Roman" w:hAnsi="Times New Roman" w:cs="Times New Roman"/>
              <w:b/>
              <w:sz w:val="26"/>
              <w:szCs w:val="26"/>
            </w:rPr>
            <w:t>LIST OF TABLES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iii</w:t>
          </w:r>
        </w:p>
        <w:p w:rsidR="005A3DA6" w:rsidRDefault="00B40EDC" w:rsidP="00D07323">
          <w:pPr>
            <w:spacing w:line="276" w:lineRule="auto"/>
            <w:rPr>
              <w:rFonts w:ascii="Times New Roman" w:hAnsi="Times New Roman" w:cs="Times New Roman"/>
              <w:b/>
              <w:sz w:val="26"/>
              <w:szCs w:val="26"/>
            </w:rPr>
          </w:pPr>
          <w:r>
            <w:rPr>
              <w:rFonts w:ascii="Times New Roman" w:hAnsi="Times New Roman" w:cs="Times New Roman"/>
              <w:b/>
              <w:sz w:val="26"/>
              <w:szCs w:val="26"/>
            </w:rPr>
            <w:t>LIST OF GRAPHS</w:t>
          </w:r>
          <w:r w:rsidR="005A3DA6">
            <w:rPr>
              <w:rFonts w:ascii="Times New Roman" w:hAnsi="Times New Roman" w:cs="Times New Roman"/>
              <w:b/>
              <w:sz w:val="26"/>
              <w:szCs w:val="26"/>
            </w:rPr>
            <w:tab/>
          </w:r>
          <w:r w:rsidR="005A3DA6">
            <w:rPr>
              <w:rFonts w:ascii="Times New Roman" w:hAnsi="Times New Roman" w:cs="Times New Roman"/>
              <w:b/>
              <w:sz w:val="26"/>
              <w:szCs w:val="26"/>
            </w:rPr>
            <w:tab/>
          </w:r>
          <w:r w:rsidR="005A3DA6">
            <w:rPr>
              <w:rFonts w:ascii="Times New Roman" w:hAnsi="Times New Roman" w:cs="Times New Roman"/>
              <w:b/>
              <w:sz w:val="26"/>
              <w:szCs w:val="26"/>
            </w:rPr>
            <w:tab/>
          </w:r>
          <w:r w:rsidR="005A3DA6">
            <w:rPr>
              <w:rFonts w:ascii="Times New Roman" w:hAnsi="Times New Roman" w:cs="Times New Roman"/>
              <w:b/>
              <w:sz w:val="26"/>
              <w:szCs w:val="26"/>
            </w:rPr>
            <w:tab/>
          </w:r>
          <w:r w:rsidR="005A3DA6">
            <w:rPr>
              <w:rFonts w:ascii="Times New Roman" w:hAnsi="Times New Roman" w:cs="Times New Roman"/>
              <w:b/>
              <w:sz w:val="26"/>
              <w:szCs w:val="26"/>
            </w:rPr>
            <w:tab/>
          </w:r>
          <w:r w:rsidR="005A3DA6">
            <w:rPr>
              <w:rFonts w:ascii="Times New Roman" w:hAnsi="Times New Roman" w:cs="Times New Roman"/>
              <w:b/>
              <w:sz w:val="26"/>
              <w:szCs w:val="26"/>
            </w:rPr>
            <w:tab/>
          </w:r>
          <w:r w:rsidR="005A3DA6">
            <w:rPr>
              <w:rFonts w:ascii="Times New Roman" w:hAnsi="Times New Roman" w:cs="Times New Roman"/>
              <w:b/>
              <w:sz w:val="26"/>
              <w:szCs w:val="26"/>
            </w:rPr>
            <w:tab/>
          </w:r>
          <w:r w:rsidR="005A3DA6">
            <w:rPr>
              <w:rFonts w:ascii="Times New Roman" w:hAnsi="Times New Roman" w:cs="Times New Roman"/>
              <w:b/>
              <w:sz w:val="26"/>
              <w:szCs w:val="26"/>
            </w:rPr>
            <w:tab/>
          </w:r>
          <w:r w:rsidR="005A3DA6">
            <w:rPr>
              <w:rFonts w:ascii="Times New Roman" w:hAnsi="Times New Roman" w:cs="Times New Roman"/>
              <w:b/>
              <w:sz w:val="26"/>
              <w:szCs w:val="26"/>
            </w:rPr>
            <w:tab/>
            <w:t>iv</w:t>
          </w:r>
        </w:p>
        <w:p w:rsidR="005A3DA6" w:rsidRPr="002D6F07" w:rsidRDefault="005A3DA6" w:rsidP="005A3DA6">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LIST OF ACRONYMS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v</w:t>
          </w:r>
        </w:p>
        <w:p w:rsidR="005A3DA6" w:rsidRDefault="005A3DA6" w:rsidP="005A3DA6">
          <w:pPr>
            <w:spacing w:line="276" w:lineRule="auto"/>
            <w:rPr>
              <w:rFonts w:ascii="Times New Roman" w:hAnsi="Times New Roman" w:cs="Times New Roman"/>
              <w:b/>
              <w:sz w:val="26"/>
              <w:szCs w:val="26"/>
            </w:rPr>
          </w:pPr>
          <w:r>
            <w:rPr>
              <w:rFonts w:ascii="Times New Roman" w:hAnsi="Times New Roman" w:cs="Times New Roman"/>
              <w:b/>
              <w:sz w:val="26"/>
              <w:szCs w:val="26"/>
            </w:rPr>
            <w:t>DEFINITION OF TERMS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vi                              </w:t>
          </w:r>
        </w:p>
        <w:p w:rsidR="00D07323" w:rsidRPr="002D6F07" w:rsidRDefault="005A3DA6" w:rsidP="005A3DA6">
          <w:pPr>
            <w:spacing w:line="276" w:lineRule="auto"/>
            <w:rPr>
              <w:rFonts w:ascii="Times New Roman" w:hAnsi="Times New Roman" w:cs="Times New Roman"/>
              <w:b/>
              <w:sz w:val="26"/>
              <w:szCs w:val="26"/>
            </w:rPr>
          </w:pPr>
          <w:r>
            <w:rPr>
              <w:rFonts w:ascii="Times New Roman" w:hAnsi="Times New Roman" w:cs="Times New Roman"/>
              <w:b/>
              <w:sz w:val="26"/>
              <w:szCs w:val="26"/>
            </w:rPr>
            <w:t>1.0 I</w:t>
          </w:r>
          <w:r w:rsidR="00D07323" w:rsidRPr="002D6F07">
            <w:rPr>
              <w:rFonts w:ascii="Times New Roman" w:hAnsi="Times New Roman" w:cs="Times New Roman"/>
              <w:b/>
              <w:sz w:val="26"/>
              <w:szCs w:val="26"/>
            </w:rPr>
            <w:t>NTRODUCTION</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07323">
            <w:rPr>
              <w:rFonts w:ascii="Times New Roman" w:hAnsi="Times New Roman" w:cs="Times New Roman"/>
              <w:b/>
              <w:sz w:val="26"/>
              <w:szCs w:val="26"/>
            </w:rPr>
            <w:t>1</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Legal Framework</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w:t>
          </w:r>
        </w:p>
        <w:p w:rsidR="00D07323" w:rsidRPr="002D6F07" w:rsidRDefault="00D07323" w:rsidP="00875AF0">
          <w:pPr>
            <w:pStyle w:val="ListParagraph"/>
            <w:numPr>
              <w:ilvl w:val="1"/>
              <w:numId w:val="10"/>
            </w:numPr>
            <w:spacing w:line="276" w:lineRule="auto"/>
            <w:rPr>
              <w:rFonts w:ascii="Times New Roman" w:hAnsi="Times New Roman" w:cs="Times New Roman"/>
              <w:b/>
              <w:sz w:val="26"/>
              <w:szCs w:val="26"/>
            </w:rPr>
          </w:pPr>
          <w:r w:rsidRPr="002D6F07">
            <w:rPr>
              <w:rFonts w:ascii="Times New Roman" w:hAnsi="Times New Roman" w:cs="Times New Roman"/>
              <w:b/>
              <w:smallCaps/>
              <w:sz w:val="26"/>
              <w:szCs w:val="26"/>
            </w:rPr>
            <w:t>Background</w:t>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Pr>
              <w:rFonts w:ascii="Times New Roman" w:hAnsi="Times New Roman" w:cs="Times New Roman"/>
              <w:b/>
              <w:sz w:val="26"/>
              <w:szCs w:val="26"/>
            </w:rPr>
            <w:t>1</w:t>
          </w:r>
        </w:p>
        <w:p w:rsidR="00D07323" w:rsidRPr="002D6F07" w:rsidRDefault="00531E1D" w:rsidP="00875AF0">
          <w:pPr>
            <w:pStyle w:val="ListParagraph"/>
            <w:numPr>
              <w:ilvl w:val="1"/>
              <w:numId w:val="10"/>
            </w:numPr>
            <w:spacing w:line="276" w:lineRule="auto"/>
            <w:rPr>
              <w:rFonts w:ascii="Times New Roman" w:hAnsi="Times New Roman" w:cs="Times New Roman"/>
              <w:b/>
              <w:smallCaps/>
              <w:sz w:val="26"/>
              <w:szCs w:val="26"/>
            </w:rPr>
          </w:pPr>
          <w:r>
            <w:rPr>
              <w:rFonts w:ascii="Times New Roman" w:hAnsi="Times New Roman" w:cs="Times New Roman"/>
              <w:b/>
              <w:smallCaps/>
              <w:sz w:val="26"/>
              <w:szCs w:val="26"/>
            </w:rPr>
            <w:t>Purpose of the report</w:t>
          </w:r>
          <w:r>
            <w:rPr>
              <w:rFonts w:ascii="Times New Roman" w:hAnsi="Times New Roman" w:cs="Times New Roman"/>
              <w:b/>
              <w:smallCaps/>
              <w:sz w:val="26"/>
              <w:szCs w:val="26"/>
            </w:rPr>
            <w:tab/>
          </w:r>
          <w:r>
            <w:rPr>
              <w:rFonts w:ascii="Times New Roman" w:hAnsi="Times New Roman" w:cs="Times New Roman"/>
              <w:b/>
              <w:smallCaps/>
              <w:sz w:val="26"/>
              <w:szCs w:val="26"/>
            </w:rPr>
            <w:tab/>
          </w:r>
          <w:r>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07323">
            <w:rPr>
              <w:rFonts w:ascii="Times New Roman" w:hAnsi="Times New Roman" w:cs="Times New Roman"/>
              <w:b/>
              <w:smallCaps/>
              <w:sz w:val="26"/>
              <w:szCs w:val="26"/>
            </w:rPr>
            <w:t>2</w:t>
          </w:r>
        </w:p>
        <w:p w:rsidR="00D07323" w:rsidRPr="002D6F07" w:rsidRDefault="00D07323" w:rsidP="00875AF0">
          <w:pPr>
            <w:pStyle w:val="ListParagraph"/>
            <w:numPr>
              <w:ilvl w:val="1"/>
              <w:numId w:val="10"/>
            </w:numPr>
            <w:spacing w:line="276" w:lineRule="auto"/>
            <w:rPr>
              <w:rFonts w:ascii="Times New Roman" w:hAnsi="Times New Roman" w:cs="Times New Roman"/>
              <w:b/>
              <w:smallCaps/>
              <w:sz w:val="26"/>
              <w:szCs w:val="26"/>
            </w:rPr>
          </w:pPr>
          <w:r w:rsidRPr="002D6F07">
            <w:rPr>
              <w:rFonts w:ascii="Times New Roman" w:hAnsi="Times New Roman" w:cs="Times New Roman"/>
              <w:b/>
              <w:smallCaps/>
              <w:sz w:val="26"/>
              <w:szCs w:val="26"/>
            </w:rPr>
            <w:t>Information and Data</w:t>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Pr>
              <w:rFonts w:ascii="Times New Roman" w:hAnsi="Times New Roman" w:cs="Times New Roman"/>
              <w:b/>
              <w:smallCaps/>
              <w:sz w:val="26"/>
              <w:szCs w:val="26"/>
            </w:rPr>
            <w:t>2</w:t>
          </w:r>
        </w:p>
        <w:p w:rsidR="00D07323" w:rsidRPr="002D6F07" w:rsidRDefault="00D07323" w:rsidP="00875AF0">
          <w:pPr>
            <w:pStyle w:val="ListParagraph"/>
            <w:numPr>
              <w:ilvl w:val="1"/>
              <w:numId w:val="10"/>
            </w:numPr>
            <w:spacing w:line="276" w:lineRule="auto"/>
            <w:rPr>
              <w:rFonts w:ascii="Times New Roman" w:hAnsi="Times New Roman" w:cs="Times New Roman"/>
              <w:b/>
              <w:sz w:val="26"/>
              <w:szCs w:val="26"/>
            </w:rPr>
          </w:pPr>
          <w:r w:rsidRPr="002D6F07">
            <w:rPr>
              <w:rFonts w:ascii="Times New Roman" w:hAnsi="Times New Roman" w:cs="Times New Roman"/>
              <w:b/>
              <w:smallCaps/>
              <w:sz w:val="26"/>
              <w:szCs w:val="26"/>
            </w:rPr>
            <w:t>Methodology</w:t>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Pr>
              <w:rFonts w:ascii="Times New Roman" w:hAnsi="Times New Roman" w:cs="Times New Roman"/>
              <w:b/>
              <w:smallCaps/>
              <w:sz w:val="26"/>
              <w:szCs w:val="26"/>
            </w:rPr>
            <w:t>2</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2.0 FINANCIAL ANALYSIS</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t>3</w:t>
          </w:r>
        </w:p>
        <w:p w:rsidR="00D07323" w:rsidRPr="002D6F07" w:rsidRDefault="00D07323" w:rsidP="00D07323">
          <w:pPr>
            <w:spacing w:line="276" w:lineRule="auto"/>
            <w:rPr>
              <w:rFonts w:ascii="Times New Roman" w:hAnsi="Times New Roman" w:cs="Times New Roman"/>
              <w:b/>
              <w:smallCaps/>
              <w:sz w:val="26"/>
              <w:szCs w:val="26"/>
            </w:rPr>
          </w:pPr>
          <w:r w:rsidRPr="002D6F07">
            <w:rPr>
              <w:rFonts w:ascii="Times New Roman" w:hAnsi="Times New Roman" w:cs="Times New Roman"/>
              <w:b/>
              <w:sz w:val="26"/>
              <w:szCs w:val="26"/>
            </w:rPr>
            <w:tab/>
            <w:t>2.1 P</w:t>
          </w:r>
          <w:r w:rsidRPr="002D6F07">
            <w:rPr>
              <w:rFonts w:ascii="Times New Roman" w:hAnsi="Times New Roman" w:cs="Times New Roman"/>
              <w:b/>
              <w:smallCaps/>
              <w:sz w:val="26"/>
              <w:szCs w:val="26"/>
            </w:rPr>
            <w:t>rofitability Ratios</w:t>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sidR="00D9451B">
            <w:rPr>
              <w:rFonts w:ascii="Times New Roman" w:hAnsi="Times New Roman" w:cs="Times New Roman"/>
              <w:b/>
              <w:smallCaps/>
              <w:sz w:val="26"/>
              <w:szCs w:val="26"/>
            </w:rPr>
            <w:tab/>
          </w:r>
          <w:r>
            <w:rPr>
              <w:rFonts w:ascii="Times New Roman" w:hAnsi="Times New Roman" w:cs="Times New Roman"/>
              <w:b/>
              <w:smallCaps/>
              <w:sz w:val="26"/>
              <w:szCs w:val="26"/>
            </w:rPr>
            <w:t>3</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mallCaps/>
              <w:sz w:val="26"/>
              <w:szCs w:val="26"/>
            </w:rPr>
            <w:tab/>
          </w:r>
          <w:r w:rsidRPr="002D6F07">
            <w:rPr>
              <w:rFonts w:ascii="Times New Roman" w:hAnsi="Times New Roman" w:cs="Times New Roman"/>
              <w:b/>
              <w:smallCaps/>
              <w:sz w:val="26"/>
              <w:szCs w:val="26"/>
            </w:rPr>
            <w:tab/>
          </w:r>
          <w:r w:rsidRPr="002D6F07">
            <w:rPr>
              <w:rFonts w:ascii="Times New Roman" w:hAnsi="Times New Roman" w:cs="Times New Roman"/>
              <w:b/>
              <w:sz w:val="26"/>
              <w:szCs w:val="26"/>
            </w:rPr>
            <w:t>a. Profit Margin</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3</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r>
          <w:r w:rsidRPr="002D6F07">
            <w:rPr>
              <w:rFonts w:ascii="Times New Roman" w:hAnsi="Times New Roman" w:cs="Times New Roman"/>
              <w:b/>
              <w:sz w:val="26"/>
              <w:szCs w:val="26"/>
            </w:rPr>
            <w:tab/>
            <w:t xml:space="preserve">b. Return on </w:t>
          </w:r>
          <w:r w:rsidR="00D9451B" w:rsidRPr="002D6F07">
            <w:rPr>
              <w:rFonts w:ascii="Times New Roman" w:hAnsi="Times New Roman" w:cs="Times New Roman"/>
              <w:b/>
              <w:sz w:val="26"/>
              <w:szCs w:val="26"/>
            </w:rPr>
            <w:t>Assets</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4</w:t>
          </w:r>
        </w:p>
        <w:p w:rsidR="00D07323" w:rsidRPr="002D6F07" w:rsidRDefault="00D07323" w:rsidP="00D07323">
          <w:pPr>
            <w:spacing w:line="276" w:lineRule="auto"/>
            <w:ind w:left="720" w:firstLine="720"/>
            <w:rPr>
              <w:rFonts w:ascii="Times New Roman" w:hAnsi="Times New Roman" w:cs="Times New Roman"/>
              <w:b/>
              <w:sz w:val="26"/>
              <w:szCs w:val="26"/>
            </w:rPr>
          </w:pPr>
          <w:r w:rsidRPr="002D6F07">
            <w:rPr>
              <w:rFonts w:ascii="Times New Roman" w:hAnsi="Times New Roman" w:cs="Times New Roman"/>
              <w:b/>
              <w:sz w:val="26"/>
              <w:szCs w:val="26"/>
            </w:rPr>
            <w:t>c. Return on Equity</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5</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t>2.2 CAPITAL STRUCTURE</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6</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r>
          <w:r w:rsidRPr="002D6F07">
            <w:rPr>
              <w:rFonts w:ascii="Times New Roman" w:hAnsi="Times New Roman" w:cs="Times New Roman"/>
              <w:b/>
              <w:sz w:val="26"/>
              <w:szCs w:val="26"/>
            </w:rPr>
            <w:tab/>
            <w:t>a. Debt to Capital Ratio</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6</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t>2.3 LIQUIDITY RATIO</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8</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r>
          <w:r w:rsidRPr="002D6F07">
            <w:rPr>
              <w:rFonts w:ascii="Times New Roman" w:hAnsi="Times New Roman" w:cs="Times New Roman"/>
              <w:b/>
              <w:sz w:val="26"/>
              <w:szCs w:val="26"/>
            </w:rPr>
            <w:tab/>
            <w:t>a. Cash Flow Interest Cover</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8</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r>
          <w:r w:rsidRPr="002D6F07">
            <w:rPr>
              <w:rFonts w:ascii="Times New Roman" w:hAnsi="Times New Roman" w:cs="Times New Roman"/>
              <w:b/>
              <w:sz w:val="26"/>
              <w:szCs w:val="26"/>
            </w:rPr>
            <w:tab/>
            <w:t>b. Current Ratio</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531E1D">
            <w:rPr>
              <w:rFonts w:ascii="Times New Roman" w:hAnsi="Times New Roman" w:cs="Times New Roman"/>
              <w:b/>
              <w:sz w:val="26"/>
              <w:szCs w:val="26"/>
            </w:rPr>
            <w:t>9</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r>
          <w:r w:rsidRPr="002D6F07">
            <w:rPr>
              <w:rFonts w:ascii="Times New Roman" w:hAnsi="Times New Roman" w:cs="Times New Roman"/>
              <w:b/>
              <w:sz w:val="26"/>
              <w:szCs w:val="26"/>
            </w:rPr>
            <w:tab/>
            <w:t>c. Operating Cost Cover by Revenue</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9</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t>2.4 MANAGEMENT EFFICIENCY</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10</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r>
          <w:r w:rsidRPr="002D6F07">
            <w:rPr>
              <w:rFonts w:ascii="Times New Roman" w:hAnsi="Times New Roman" w:cs="Times New Roman"/>
              <w:b/>
              <w:sz w:val="26"/>
              <w:szCs w:val="26"/>
            </w:rPr>
            <w:tab/>
            <w:t>a. Days of Outstanding Accounts Receivables</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10</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 xml:space="preserve">3.0 ECONOMIC </w:t>
          </w:r>
          <w:r>
            <w:rPr>
              <w:rFonts w:ascii="Times New Roman" w:hAnsi="Times New Roman" w:cs="Times New Roman"/>
              <w:b/>
              <w:sz w:val="26"/>
              <w:szCs w:val="26"/>
            </w:rPr>
            <w:t>INDICATORS</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11</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r>
          <w:r w:rsidRPr="002D6F07">
            <w:rPr>
              <w:rFonts w:ascii="Times New Roman" w:hAnsi="Times New Roman" w:cs="Times New Roman"/>
              <w:b/>
              <w:sz w:val="26"/>
              <w:szCs w:val="26"/>
            </w:rPr>
            <w:tab/>
            <w:t>a. Energy Sales per Employee (kWh)</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11</w:t>
          </w:r>
        </w:p>
        <w:p w:rsidR="00D07323" w:rsidRPr="002D6F07"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ab/>
          </w:r>
          <w:r w:rsidRPr="002D6F07">
            <w:rPr>
              <w:rFonts w:ascii="Times New Roman" w:hAnsi="Times New Roman" w:cs="Times New Roman"/>
              <w:b/>
              <w:sz w:val="26"/>
              <w:szCs w:val="26"/>
            </w:rPr>
            <w:tab/>
            <w:t>b. Number of Customers per Employee</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6A4DCC">
            <w:rPr>
              <w:rFonts w:ascii="Times New Roman" w:hAnsi="Times New Roman" w:cs="Times New Roman"/>
              <w:b/>
              <w:sz w:val="26"/>
              <w:szCs w:val="26"/>
            </w:rPr>
            <w:t>1</w:t>
          </w:r>
          <w:r w:rsidR="006937D6">
            <w:rPr>
              <w:rFonts w:ascii="Times New Roman" w:hAnsi="Times New Roman" w:cs="Times New Roman"/>
              <w:b/>
              <w:sz w:val="26"/>
              <w:szCs w:val="26"/>
            </w:rPr>
            <w:t>2</w:t>
          </w:r>
        </w:p>
        <w:p w:rsidR="00D07323" w:rsidRPr="002D6F07" w:rsidRDefault="00B60AC2"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c. Electricity</w:t>
          </w:r>
          <w:r w:rsidR="00D07323" w:rsidRPr="002D6F07">
            <w:rPr>
              <w:rFonts w:ascii="Times New Roman" w:hAnsi="Times New Roman" w:cs="Times New Roman"/>
              <w:b/>
              <w:sz w:val="26"/>
              <w:szCs w:val="26"/>
            </w:rPr>
            <w:t xml:space="preserve"> Consumption per Capita</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2C0672">
            <w:rPr>
              <w:rFonts w:ascii="Times New Roman" w:hAnsi="Times New Roman" w:cs="Times New Roman"/>
              <w:b/>
              <w:sz w:val="26"/>
              <w:szCs w:val="26"/>
            </w:rPr>
            <w:t>13</w:t>
          </w:r>
        </w:p>
        <w:p w:rsidR="00D07323" w:rsidRDefault="00D07323" w:rsidP="00D07323">
          <w:pPr>
            <w:spacing w:line="276" w:lineRule="auto"/>
            <w:rPr>
              <w:rFonts w:ascii="Times New Roman" w:hAnsi="Times New Roman" w:cs="Times New Roman"/>
              <w:b/>
              <w:sz w:val="26"/>
              <w:szCs w:val="26"/>
            </w:rPr>
          </w:pPr>
          <w:r w:rsidRPr="002D6F07">
            <w:rPr>
              <w:rFonts w:ascii="Times New Roman" w:hAnsi="Times New Roman" w:cs="Times New Roman"/>
              <w:b/>
              <w:sz w:val="26"/>
              <w:szCs w:val="26"/>
            </w:rPr>
            <w:t>4.0 ORGANIZATIONAL PERFORMANCE</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531E1D">
            <w:rPr>
              <w:rFonts w:ascii="Times New Roman" w:hAnsi="Times New Roman" w:cs="Times New Roman"/>
              <w:b/>
              <w:sz w:val="26"/>
              <w:szCs w:val="26"/>
            </w:rPr>
            <w:t>15</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a. Average Tariff</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531E1D">
            <w:rPr>
              <w:rFonts w:ascii="Times New Roman" w:hAnsi="Times New Roman" w:cs="Times New Roman"/>
              <w:b/>
              <w:sz w:val="26"/>
              <w:szCs w:val="26"/>
            </w:rPr>
            <w:t>15</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b. Operating Cost per (kWh)</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15</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c. Customer Base</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16</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d. Energy Purchased</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17</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e. Energy Sales</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18</w:t>
          </w:r>
        </w:p>
        <w:p w:rsidR="00D07323" w:rsidRDefault="00D07323" w:rsidP="00D07323">
          <w:pPr>
            <w:rPr>
              <w:rFonts w:ascii="Times New Roman" w:hAnsi="Times New Roman" w:cs="Times New Roman"/>
              <w:b/>
              <w:sz w:val="26"/>
              <w:szCs w:val="26"/>
            </w:rPr>
          </w:pPr>
          <w:r>
            <w:rPr>
              <w:rFonts w:ascii="Times New Roman" w:hAnsi="Times New Roman" w:cs="Times New Roman"/>
              <w:b/>
              <w:sz w:val="26"/>
              <w:szCs w:val="26"/>
            </w:rPr>
            <w:br w:type="page"/>
          </w:r>
        </w:p>
        <w:p w:rsidR="00D07323" w:rsidRDefault="00D07323" w:rsidP="00D07323">
          <w:pPr>
            <w:spacing w:line="276" w:lineRule="auto"/>
            <w:rPr>
              <w:rFonts w:ascii="Times New Roman" w:hAnsi="Times New Roman" w:cs="Times New Roman"/>
              <w:b/>
              <w:sz w:val="26"/>
              <w:szCs w:val="26"/>
            </w:rPr>
          </w:pP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5.0 SECTION II</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caps/>
              <w:sz w:val="26"/>
              <w:szCs w:val="26"/>
            </w:rPr>
            <w:t xml:space="preserve">5.1 </w:t>
          </w:r>
          <w:r w:rsidRPr="009B52E4">
            <w:rPr>
              <w:rFonts w:ascii="Times New Roman" w:hAnsi="Times New Roman" w:cs="Times New Roman"/>
              <w:b/>
              <w:caps/>
              <w:sz w:val="26"/>
              <w:szCs w:val="26"/>
            </w:rPr>
            <w:t>Generation</w:t>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Pr>
              <w:rFonts w:ascii="Times New Roman" w:hAnsi="Times New Roman" w:cs="Times New Roman"/>
              <w:b/>
              <w:sz w:val="26"/>
              <w:szCs w:val="26"/>
            </w:rPr>
            <w:t>20</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 xml:space="preserve">a. Total Installed Generation Capacity Including </w:t>
          </w:r>
        </w:p>
        <w:p w:rsidR="00D07323" w:rsidRDefault="00D07323" w:rsidP="00D07323">
          <w:pPr>
            <w:spacing w:line="276" w:lineRule="auto"/>
            <w:ind w:left="1440"/>
            <w:rPr>
              <w:rFonts w:ascii="Times New Roman" w:hAnsi="Times New Roman" w:cs="Times New Roman"/>
              <w:b/>
              <w:sz w:val="26"/>
              <w:szCs w:val="26"/>
            </w:rPr>
          </w:pPr>
          <w:r>
            <w:rPr>
              <w:rFonts w:ascii="Times New Roman" w:hAnsi="Times New Roman" w:cs="Times New Roman"/>
              <w:b/>
              <w:sz w:val="26"/>
              <w:szCs w:val="26"/>
            </w:rPr>
            <w:t>Distributed RE</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20</w:t>
          </w:r>
        </w:p>
        <w:p w:rsidR="00D07323" w:rsidRDefault="00D07323" w:rsidP="00D07323">
          <w:pPr>
            <w:spacing w:line="276" w:lineRule="auto"/>
            <w:ind w:left="1440"/>
            <w:rPr>
              <w:rFonts w:ascii="Times New Roman" w:hAnsi="Times New Roman" w:cs="Times New Roman"/>
              <w:b/>
              <w:sz w:val="26"/>
              <w:szCs w:val="26"/>
            </w:rPr>
          </w:pPr>
          <w:r>
            <w:rPr>
              <w:rFonts w:ascii="Times New Roman" w:hAnsi="Times New Roman" w:cs="Times New Roman"/>
              <w:b/>
              <w:sz w:val="26"/>
              <w:szCs w:val="26"/>
            </w:rPr>
            <w:t>b. Distributed RE I</w:t>
          </w:r>
          <w:r w:rsidR="00BE7B00">
            <w:rPr>
              <w:rFonts w:ascii="Times New Roman" w:hAnsi="Times New Roman" w:cs="Times New Roman"/>
              <w:b/>
              <w:sz w:val="26"/>
              <w:szCs w:val="26"/>
            </w:rPr>
            <w:t>nstalled Capacity</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20</w:t>
          </w:r>
        </w:p>
        <w:p w:rsidR="00D07323" w:rsidRDefault="00D07323" w:rsidP="00D07323">
          <w:pPr>
            <w:spacing w:line="276" w:lineRule="auto"/>
            <w:ind w:left="1440"/>
            <w:rPr>
              <w:rFonts w:ascii="Times New Roman" w:hAnsi="Times New Roman" w:cs="Times New Roman"/>
              <w:b/>
              <w:sz w:val="26"/>
              <w:szCs w:val="26"/>
            </w:rPr>
          </w:pPr>
          <w:r>
            <w:rPr>
              <w:rFonts w:ascii="Times New Roman" w:hAnsi="Times New Roman" w:cs="Times New Roman"/>
              <w:b/>
              <w:sz w:val="26"/>
              <w:szCs w:val="26"/>
            </w:rPr>
            <w:t>c. Percentage RE Cap</w:t>
          </w:r>
          <w:r w:rsidR="00BE7B00">
            <w:rPr>
              <w:rFonts w:ascii="Times New Roman" w:hAnsi="Times New Roman" w:cs="Times New Roman"/>
              <w:b/>
              <w:sz w:val="26"/>
              <w:szCs w:val="26"/>
            </w:rPr>
            <w:t>acity tied to the Grid</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21</w:t>
          </w:r>
        </w:p>
        <w:p w:rsidR="00D07323" w:rsidRDefault="00D07323" w:rsidP="00D07323">
          <w:pPr>
            <w:spacing w:line="276" w:lineRule="auto"/>
            <w:ind w:left="1440"/>
            <w:rPr>
              <w:rFonts w:ascii="Times New Roman" w:hAnsi="Times New Roman" w:cs="Times New Roman"/>
              <w:b/>
              <w:sz w:val="26"/>
              <w:szCs w:val="26"/>
            </w:rPr>
          </w:pPr>
          <w:r>
            <w:rPr>
              <w:rFonts w:ascii="Times New Roman" w:hAnsi="Times New Roman" w:cs="Times New Roman"/>
              <w:b/>
              <w:sz w:val="26"/>
              <w:szCs w:val="26"/>
            </w:rPr>
            <w:t>d. Proportion of Diese</w:t>
          </w:r>
          <w:r w:rsidR="00465CAC">
            <w:rPr>
              <w:rFonts w:ascii="Times New Roman" w:hAnsi="Times New Roman" w:cs="Times New Roman"/>
              <w:b/>
              <w:sz w:val="26"/>
              <w:szCs w:val="26"/>
            </w:rPr>
            <w:t>l and Hydro Generation</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22</w:t>
          </w:r>
        </w:p>
        <w:p w:rsidR="00D07323" w:rsidRDefault="00D07323" w:rsidP="00D07323">
          <w:pPr>
            <w:spacing w:line="276" w:lineRule="auto"/>
            <w:ind w:left="1440"/>
            <w:rPr>
              <w:rFonts w:ascii="Times New Roman" w:hAnsi="Times New Roman" w:cs="Times New Roman"/>
              <w:b/>
              <w:sz w:val="26"/>
              <w:szCs w:val="26"/>
            </w:rPr>
          </w:pPr>
          <w:r>
            <w:rPr>
              <w:rFonts w:ascii="Times New Roman" w:hAnsi="Times New Roman" w:cs="Times New Roman"/>
              <w:b/>
              <w:sz w:val="26"/>
              <w:szCs w:val="26"/>
            </w:rPr>
            <w:t>e. Total Energy Genera</w:t>
          </w:r>
          <w:r w:rsidR="00465CAC">
            <w:rPr>
              <w:rFonts w:ascii="Times New Roman" w:hAnsi="Times New Roman" w:cs="Times New Roman"/>
              <w:b/>
              <w:sz w:val="26"/>
              <w:szCs w:val="26"/>
            </w:rPr>
            <w:t>ted, Delivered and Sold</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23</w:t>
          </w:r>
        </w:p>
        <w:p w:rsidR="00D07323" w:rsidRDefault="00D07323" w:rsidP="00D07323">
          <w:pPr>
            <w:spacing w:line="276" w:lineRule="auto"/>
            <w:ind w:left="1440"/>
            <w:rPr>
              <w:rFonts w:ascii="Times New Roman" w:hAnsi="Times New Roman" w:cs="Times New Roman"/>
              <w:b/>
              <w:sz w:val="26"/>
              <w:szCs w:val="26"/>
            </w:rPr>
          </w:pPr>
          <w:r>
            <w:rPr>
              <w:rFonts w:ascii="Times New Roman" w:hAnsi="Times New Roman" w:cs="Times New Roman"/>
              <w:b/>
              <w:sz w:val="26"/>
              <w:szCs w:val="26"/>
            </w:rPr>
            <w:t>f. Capacity</w:t>
          </w:r>
          <w:r w:rsidR="00465CAC">
            <w:rPr>
              <w:rFonts w:ascii="Times New Roman" w:hAnsi="Times New Roman" w:cs="Times New Roman"/>
              <w:b/>
              <w:sz w:val="26"/>
              <w:szCs w:val="26"/>
            </w:rPr>
            <w:t xml:space="preserve"> and Load Factors</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25</w:t>
          </w:r>
        </w:p>
        <w:p w:rsidR="00D07323" w:rsidRDefault="00D07323" w:rsidP="00D07323">
          <w:pPr>
            <w:spacing w:line="276" w:lineRule="auto"/>
            <w:ind w:left="1440"/>
            <w:rPr>
              <w:rFonts w:ascii="Times New Roman" w:hAnsi="Times New Roman" w:cs="Times New Roman"/>
              <w:b/>
              <w:sz w:val="26"/>
              <w:szCs w:val="26"/>
            </w:rPr>
          </w:pPr>
          <w:r>
            <w:rPr>
              <w:rFonts w:ascii="Times New Roman" w:hAnsi="Times New Roman" w:cs="Times New Roman"/>
              <w:b/>
              <w:sz w:val="26"/>
              <w:szCs w:val="26"/>
            </w:rPr>
            <w:t>g. Ratio of Firm C</w:t>
          </w:r>
          <w:r w:rsidR="00465CAC">
            <w:rPr>
              <w:rFonts w:ascii="Times New Roman" w:hAnsi="Times New Roman" w:cs="Times New Roman"/>
              <w:b/>
              <w:sz w:val="26"/>
              <w:szCs w:val="26"/>
            </w:rPr>
            <w:t>apacity over Peak Demand</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26</w:t>
          </w:r>
        </w:p>
        <w:p w:rsidR="00D07323" w:rsidRDefault="00D07323" w:rsidP="00D07323">
          <w:pPr>
            <w:spacing w:line="276" w:lineRule="auto"/>
            <w:ind w:left="1440"/>
            <w:rPr>
              <w:rFonts w:ascii="Times New Roman" w:hAnsi="Times New Roman" w:cs="Times New Roman"/>
              <w:b/>
              <w:sz w:val="26"/>
              <w:szCs w:val="26"/>
            </w:rPr>
          </w:pPr>
          <w:r>
            <w:rPr>
              <w:rFonts w:ascii="Times New Roman" w:hAnsi="Times New Roman" w:cs="Times New Roman"/>
              <w:b/>
              <w:sz w:val="26"/>
              <w:szCs w:val="26"/>
            </w:rPr>
            <w:t>h. Thermal Generation</w:t>
          </w:r>
          <w:r w:rsidR="00465CAC">
            <w:rPr>
              <w:rFonts w:ascii="Times New Roman" w:hAnsi="Times New Roman" w:cs="Times New Roman"/>
              <w:b/>
              <w:sz w:val="26"/>
              <w:szCs w:val="26"/>
            </w:rPr>
            <w:t xml:space="preserve"> Specific Fuel Consumption</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26</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5.2 </w:t>
          </w:r>
          <w:r w:rsidRPr="009312F4">
            <w:rPr>
              <w:rFonts w:ascii="Times New Roman" w:hAnsi="Times New Roman" w:cs="Times New Roman"/>
              <w:b/>
              <w:caps/>
              <w:sz w:val="26"/>
              <w:szCs w:val="26"/>
            </w:rPr>
            <w:t>Transmission and Distribution</w:t>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sidR="00D9451B">
            <w:rPr>
              <w:rFonts w:ascii="Times New Roman" w:hAnsi="Times New Roman" w:cs="Times New Roman"/>
              <w:b/>
              <w:caps/>
              <w:sz w:val="26"/>
              <w:szCs w:val="26"/>
            </w:rPr>
            <w:tab/>
          </w:r>
          <w:r>
            <w:rPr>
              <w:rFonts w:ascii="Times New Roman" w:hAnsi="Times New Roman" w:cs="Times New Roman"/>
              <w:b/>
              <w:sz w:val="26"/>
              <w:szCs w:val="26"/>
            </w:rPr>
            <w:t>28</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i. Syst</w:t>
          </w:r>
          <w:r w:rsidR="00CD193E">
            <w:rPr>
              <w:rFonts w:ascii="Times New Roman" w:hAnsi="Times New Roman" w:cs="Times New Roman"/>
              <w:b/>
              <w:sz w:val="26"/>
              <w:szCs w:val="26"/>
            </w:rPr>
            <w:t>em Losses</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Pr>
              <w:rFonts w:ascii="Times New Roman" w:hAnsi="Times New Roman" w:cs="Times New Roman"/>
              <w:b/>
              <w:sz w:val="26"/>
              <w:szCs w:val="26"/>
            </w:rPr>
            <w:t>28</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j. System Reli</w:t>
          </w:r>
          <w:r w:rsidR="00CD193E">
            <w:rPr>
              <w:rFonts w:ascii="Times New Roman" w:hAnsi="Times New Roman" w:cs="Times New Roman"/>
              <w:b/>
              <w:sz w:val="26"/>
              <w:szCs w:val="26"/>
            </w:rPr>
            <w:t>ability Indices</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531E1D">
            <w:rPr>
              <w:rFonts w:ascii="Times New Roman" w:hAnsi="Times New Roman" w:cs="Times New Roman"/>
              <w:b/>
              <w:sz w:val="26"/>
              <w:szCs w:val="26"/>
            </w:rPr>
            <w:t>29</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6.0 SUM</w:t>
          </w:r>
          <w:r w:rsidR="00CD193E">
            <w:rPr>
              <w:rFonts w:ascii="Times New Roman" w:hAnsi="Times New Roman" w:cs="Times New Roman"/>
              <w:b/>
              <w:sz w:val="26"/>
              <w:szCs w:val="26"/>
            </w:rPr>
            <w:t>MARY</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t>3</w:t>
          </w:r>
          <w:r>
            <w:rPr>
              <w:rFonts w:ascii="Times New Roman" w:hAnsi="Times New Roman" w:cs="Times New Roman"/>
              <w:b/>
              <w:sz w:val="26"/>
              <w:szCs w:val="26"/>
            </w:rPr>
            <w:t>1</w:t>
          </w:r>
        </w:p>
        <w:p w:rsidR="00D07323" w:rsidRDefault="00D07323" w:rsidP="00D07323">
          <w:pPr>
            <w:spacing w:line="276" w:lineRule="auto"/>
            <w:rPr>
              <w:rFonts w:ascii="Times New Roman" w:hAnsi="Times New Roman" w:cs="Times New Roman"/>
              <w:b/>
              <w:sz w:val="26"/>
              <w:szCs w:val="26"/>
            </w:rPr>
          </w:pPr>
          <w:r>
            <w:rPr>
              <w:rFonts w:ascii="Times New Roman" w:hAnsi="Times New Roman" w:cs="Times New Roman"/>
              <w:b/>
              <w:sz w:val="26"/>
              <w:szCs w:val="26"/>
            </w:rPr>
            <w:t>7.0 CONCLUS</w:t>
          </w:r>
          <w:r w:rsidR="00CD193E">
            <w:rPr>
              <w:rFonts w:ascii="Times New Roman" w:hAnsi="Times New Roman" w:cs="Times New Roman"/>
              <w:b/>
              <w:sz w:val="26"/>
              <w:szCs w:val="26"/>
            </w:rPr>
            <w:t>ION</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465CAC">
            <w:rPr>
              <w:rFonts w:ascii="Times New Roman" w:hAnsi="Times New Roman" w:cs="Times New Roman"/>
              <w:b/>
              <w:sz w:val="26"/>
              <w:szCs w:val="26"/>
            </w:rPr>
            <w:t>3</w:t>
          </w:r>
          <w:r>
            <w:rPr>
              <w:rFonts w:ascii="Times New Roman" w:hAnsi="Times New Roman" w:cs="Times New Roman"/>
              <w:b/>
              <w:sz w:val="26"/>
              <w:szCs w:val="26"/>
            </w:rPr>
            <w:t>2</w:t>
          </w:r>
        </w:p>
        <w:p w:rsidR="00D07323" w:rsidRDefault="00165ABA" w:rsidP="00D07323">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       Appendix</w:t>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D9451B">
            <w:rPr>
              <w:rFonts w:ascii="Times New Roman" w:hAnsi="Times New Roman" w:cs="Times New Roman"/>
              <w:b/>
              <w:sz w:val="26"/>
              <w:szCs w:val="26"/>
            </w:rPr>
            <w:tab/>
          </w:r>
          <w:r w:rsidR="00CD193E">
            <w:rPr>
              <w:rFonts w:ascii="Times New Roman" w:hAnsi="Times New Roman" w:cs="Times New Roman"/>
              <w:b/>
              <w:sz w:val="26"/>
              <w:szCs w:val="26"/>
            </w:rPr>
            <w:t>3</w:t>
          </w:r>
          <w:r w:rsidR="00531E1D">
            <w:rPr>
              <w:rFonts w:ascii="Times New Roman" w:hAnsi="Times New Roman" w:cs="Times New Roman"/>
              <w:b/>
              <w:sz w:val="26"/>
              <w:szCs w:val="26"/>
            </w:rPr>
            <w:t>3</w:t>
          </w:r>
        </w:p>
        <w:p w:rsidR="00531E1D" w:rsidRPr="002D6F07" w:rsidRDefault="00531E1D" w:rsidP="00D07323">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       References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34</w:t>
          </w:r>
        </w:p>
        <w:p w:rsidR="00D07323" w:rsidRPr="002D6F07" w:rsidRDefault="00D07323" w:rsidP="00875AF0">
          <w:pPr>
            <w:pStyle w:val="ListParagraph"/>
            <w:numPr>
              <w:ilvl w:val="0"/>
              <w:numId w:val="10"/>
            </w:numPr>
            <w:spacing w:line="276" w:lineRule="auto"/>
            <w:rPr>
              <w:rFonts w:ascii="Times New Roman" w:hAnsi="Times New Roman" w:cs="Times New Roman"/>
              <w:b/>
              <w:sz w:val="26"/>
              <w:szCs w:val="26"/>
            </w:rPr>
          </w:pPr>
          <w:r w:rsidRPr="002D6F07">
            <w:rPr>
              <w:rFonts w:ascii="Times New Roman" w:hAnsi="Times New Roman" w:cs="Times New Roman"/>
              <w:b/>
              <w:sz w:val="26"/>
              <w:szCs w:val="26"/>
            </w:rPr>
            <w:br w:type="page"/>
          </w:r>
        </w:p>
        <w:p w:rsidR="00462551" w:rsidRDefault="00462551" w:rsidP="00D07323">
          <w:pPr>
            <w:rPr>
              <w:rFonts w:ascii="Times New Roman" w:hAnsi="Times New Roman" w:cs="Times New Roman"/>
              <w:b/>
            </w:rPr>
          </w:pPr>
        </w:p>
        <w:p w:rsidR="00462551" w:rsidRDefault="00462551" w:rsidP="006937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LIST OF TABLES</w:t>
          </w:r>
        </w:p>
        <w:p w:rsidR="00462551" w:rsidRDefault="00462551" w:rsidP="00462551">
          <w:pPr>
            <w:spacing w:line="360" w:lineRule="auto"/>
            <w:jc w:val="left"/>
            <w:rPr>
              <w:rFonts w:ascii="Times New Roman" w:hAnsi="Times New Roman" w:cs="Times New Roman"/>
              <w:b/>
              <w:sz w:val="24"/>
              <w:szCs w:val="24"/>
            </w:rPr>
          </w:pPr>
        </w:p>
        <w:p w:rsidR="00462551" w:rsidRDefault="00462551" w:rsidP="00462551">
          <w:pPr>
            <w:spacing w:line="360" w:lineRule="auto"/>
            <w:jc w:val="left"/>
            <w:rPr>
              <w:rFonts w:ascii="Times New Roman" w:hAnsi="Times New Roman" w:cs="Times New Roman"/>
              <w:b/>
              <w:sz w:val="24"/>
              <w:szCs w:val="24"/>
            </w:rPr>
          </w:pP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Table : 1 </w:t>
          </w:r>
          <w:r>
            <w:rPr>
              <w:rFonts w:ascii="Times New Roman" w:hAnsi="Times New Roman" w:cs="Times New Roman"/>
              <w:b/>
              <w:sz w:val="24"/>
              <w:szCs w:val="24"/>
            </w:rPr>
            <w:tab/>
            <w:t>Profit Margin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2</w:t>
          </w:r>
          <w:r>
            <w:rPr>
              <w:rFonts w:ascii="Times New Roman" w:hAnsi="Times New Roman" w:cs="Times New Roman"/>
              <w:b/>
              <w:sz w:val="24"/>
              <w:szCs w:val="24"/>
            </w:rPr>
            <w:tab/>
            <w:t>Return on Assets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w:t>
          </w:r>
          <w:r>
            <w:rPr>
              <w:rFonts w:ascii="Times New Roman" w:hAnsi="Times New Roman" w:cs="Times New Roman"/>
              <w:b/>
              <w:sz w:val="24"/>
              <w:szCs w:val="24"/>
            </w:rPr>
            <w:tab/>
            <w:t xml:space="preserve"> 3</w:t>
          </w:r>
          <w:r>
            <w:rPr>
              <w:rFonts w:ascii="Times New Roman" w:hAnsi="Times New Roman" w:cs="Times New Roman"/>
              <w:b/>
              <w:sz w:val="24"/>
              <w:szCs w:val="24"/>
            </w:rPr>
            <w:tab/>
            <w:t>Return on Equity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 4</w:t>
          </w:r>
          <w:r>
            <w:rPr>
              <w:rFonts w:ascii="Times New Roman" w:hAnsi="Times New Roman" w:cs="Times New Roman"/>
              <w:b/>
              <w:sz w:val="24"/>
              <w:szCs w:val="24"/>
            </w:rPr>
            <w:tab/>
            <w:t xml:space="preserve">Debt to Capital Ratio 2012 – 2016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5</w:t>
          </w:r>
          <w:r>
            <w:rPr>
              <w:rFonts w:ascii="Times New Roman" w:hAnsi="Times New Roman" w:cs="Times New Roman"/>
              <w:b/>
              <w:sz w:val="24"/>
              <w:szCs w:val="24"/>
            </w:rPr>
            <w:tab/>
            <w:t>Cash Flow Interest Cover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6</w:t>
          </w:r>
          <w:r>
            <w:rPr>
              <w:rFonts w:ascii="Times New Roman" w:hAnsi="Times New Roman" w:cs="Times New Roman"/>
              <w:b/>
              <w:sz w:val="24"/>
              <w:szCs w:val="24"/>
            </w:rPr>
            <w:tab/>
            <w:t>Current Ratio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7</w:t>
          </w:r>
          <w:r>
            <w:rPr>
              <w:rFonts w:ascii="Times New Roman" w:hAnsi="Times New Roman" w:cs="Times New Roman"/>
              <w:b/>
              <w:sz w:val="24"/>
              <w:szCs w:val="24"/>
            </w:rPr>
            <w:tab/>
            <w:t>Operating Cost Covered by Revenue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8</w:t>
          </w:r>
          <w:r>
            <w:rPr>
              <w:rFonts w:ascii="Times New Roman" w:hAnsi="Times New Roman" w:cs="Times New Roman"/>
              <w:b/>
              <w:sz w:val="24"/>
              <w:szCs w:val="24"/>
            </w:rPr>
            <w:tab/>
            <w:t>Days of Outstanding Accounts Receivables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9</w:t>
          </w:r>
          <w:r>
            <w:rPr>
              <w:rFonts w:ascii="Times New Roman" w:hAnsi="Times New Roman" w:cs="Times New Roman"/>
              <w:b/>
              <w:sz w:val="24"/>
              <w:szCs w:val="24"/>
            </w:rPr>
            <w:tab/>
            <w:t xml:space="preserve">Sales per </w:t>
          </w:r>
          <w:r w:rsidR="00523E45">
            <w:rPr>
              <w:rFonts w:ascii="Times New Roman" w:hAnsi="Times New Roman" w:cs="Times New Roman"/>
              <w:b/>
              <w:sz w:val="24"/>
              <w:szCs w:val="24"/>
            </w:rPr>
            <w:t>Employee (</w:t>
          </w:r>
          <w:r>
            <w:rPr>
              <w:rFonts w:ascii="Times New Roman" w:hAnsi="Times New Roman" w:cs="Times New Roman"/>
              <w:b/>
              <w:sz w:val="24"/>
              <w:szCs w:val="24"/>
            </w:rPr>
            <w:t>kWh)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10 –a</w:t>
          </w:r>
          <w:r>
            <w:rPr>
              <w:rFonts w:ascii="Times New Roman" w:hAnsi="Times New Roman" w:cs="Times New Roman"/>
              <w:b/>
              <w:sz w:val="24"/>
              <w:szCs w:val="24"/>
            </w:rPr>
            <w:tab/>
            <w:t xml:space="preserve">Number of Full </w:t>
          </w:r>
          <w:r w:rsidR="00526CD5">
            <w:rPr>
              <w:rFonts w:ascii="Times New Roman" w:hAnsi="Times New Roman" w:cs="Times New Roman"/>
              <w:b/>
              <w:sz w:val="24"/>
              <w:szCs w:val="24"/>
            </w:rPr>
            <w:t xml:space="preserve">Time </w:t>
          </w:r>
          <w:r w:rsidR="00523E45">
            <w:rPr>
              <w:rFonts w:ascii="Times New Roman" w:hAnsi="Times New Roman" w:cs="Times New Roman"/>
              <w:b/>
              <w:sz w:val="24"/>
              <w:szCs w:val="24"/>
            </w:rPr>
            <w:t>Employees</w:t>
          </w:r>
          <w:r w:rsidR="00526CD5">
            <w:rPr>
              <w:rFonts w:ascii="Times New Roman" w:hAnsi="Times New Roman" w:cs="Times New Roman"/>
              <w:b/>
              <w:sz w:val="24"/>
              <w:szCs w:val="24"/>
            </w:rPr>
            <w:t xml:space="preserve"> 2012 – 2016</w:t>
          </w:r>
          <w:r w:rsidR="00526CD5">
            <w:rPr>
              <w:rFonts w:ascii="Times New Roman" w:hAnsi="Times New Roman" w:cs="Times New Roman"/>
              <w:b/>
              <w:sz w:val="24"/>
              <w:szCs w:val="24"/>
            </w:rPr>
            <w:tab/>
          </w:r>
          <w:r w:rsidR="00526CD5">
            <w:rPr>
              <w:rFonts w:ascii="Times New Roman" w:hAnsi="Times New Roman" w:cs="Times New Roman"/>
              <w:b/>
              <w:sz w:val="24"/>
              <w:szCs w:val="24"/>
            </w:rPr>
            <w:tab/>
          </w:r>
          <w:r w:rsidR="00526CD5">
            <w:rPr>
              <w:rFonts w:ascii="Times New Roman" w:hAnsi="Times New Roman" w:cs="Times New Roman"/>
              <w:b/>
              <w:sz w:val="24"/>
              <w:szCs w:val="24"/>
            </w:rPr>
            <w:tab/>
          </w:r>
          <w:r w:rsidR="00526CD5">
            <w:rPr>
              <w:rFonts w:ascii="Times New Roman" w:hAnsi="Times New Roman" w:cs="Times New Roman"/>
              <w:b/>
              <w:sz w:val="24"/>
              <w:szCs w:val="24"/>
            </w:rPr>
            <w:tab/>
            <w:t>12</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10 –b</w:t>
          </w:r>
          <w:r>
            <w:rPr>
              <w:rFonts w:ascii="Times New Roman" w:hAnsi="Times New Roman" w:cs="Times New Roman"/>
              <w:b/>
              <w:sz w:val="24"/>
              <w:szCs w:val="24"/>
            </w:rPr>
            <w:tab/>
            <w:t>Customers per Employee 2012 – 2016</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11</w:t>
          </w:r>
          <w:r>
            <w:rPr>
              <w:rFonts w:ascii="Times New Roman" w:hAnsi="Times New Roman" w:cs="Times New Roman"/>
              <w:b/>
              <w:sz w:val="24"/>
              <w:szCs w:val="24"/>
            </w:rPr>
            <w:tab/>
          </w:r>
          <w:r w:rsidR="00DA2818">
            <w:rPr>
              <w:rFonts w:ascii="Times New Roman" w:hAnsi="Times New Roman" w:cs="Times New Roman"/>
              <w:b/>
              <w:sz w:val="24"/>
              <w:szCs w:val="24"/>
            </w:rPr>
            <w:t xml:space="preserve">Electricity </w:t>
          </w:r>
          <w:r>
            <w:rPr>
              <w:rFonts w:ascii="Times New Roman" w:hAnsi="Times New Roman" w:cs="Times New Roman"/>
              <w:b/>
              <w:sz w:val="24"/>
              <w:szCs w:val="24"/>
            </w:rPr>
            <w:t>Consumpti</w:t>
          </w:r>
          <w:r w:rsidR="00DA2818">
            <w:rPr>
              <w:rFonts w:ascii="Times New Roman" w:hAnsi="Times New Roman" w:cs="Times New Roman"/>
              <w:b/>
              <w:sz w:val="24"/>
              <w:szCs w:val="24"/>
            </w:rPr>
            <w:t>on per Capita 2012 – 2016</w:t>
          </w:r>
          <w:r w:rsidR="00DA2818">
            <w:rPr>
              <w:rFonts w:ascii="Times New Roman" w:hAnsi="Times New Roman" w:cs="Times New Roman"/>
              <w:b/>
              <w:sz w:val="24"/>
              <w:szCs w:val="24"/>
            </w:rPr>
            <w:tab/>
          </w:r>
          <w:r w:rsidR="00DA2818">
            <w:rPr>
              <w:rFonts w:ascii="Times New Roman" w:hAnsi="Times New Roman" w:cs="Times New Roman"/>
              <w:b/>
              <w:sz w:val="24"/>
              <w:szCs w:val="24"/>
            </w:rPr>
            <w:tab/>
          </w:r>
          <w:r w:rsidR="00DA2818">
            <w:rPr>
              <w:rFonts w:ascii="Times New Roman" w:hAnsi="Times New Roman" w:cs="Times New Roman"/>
              <w:b/>
              <w:sz w:val="24"/>
              <w:szCs w:val="24"/>
            </w:rPr>
            <w:tab/>
          </w:r>
          <w:r w:rsidR="00DA2818">
            <w:rPr>
              <w:rFonts w:ascii="Times New Roman" w:hAnsi="Times New Roman" w:cs="Times New Roman"/>
              <w:b/>
              <w:sz w:val="24"/>
              <w:szCs w:val="24"/>
            </w:rPr>
            <w:tab/>
            <w:t>13</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12</w:t>
          </w:r>
          <w:r>
            <w:rPr>
              <w:rFonts w:ascii="Times New Roman" w:hAnsi="Times New Roman" w:cs="Times New Roman"/>
              <w:b/>
              <w:sz w:val="24"/>
              <w:szCs w:val="24"/>
            </w:rPr>
            <w:tab/>
            <w:t>Average Tariff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13</w:t>
          </w:r>
          <w:r>
            <w:rPr>
              <w:rFonts w:ascii="Times New Roman" w:hAnsi="Times New Roman" w:cs="Times New Roman"/>
              <w:b/>
              <w:sz w:val="24"/>
              <w:szCs w:val="24"/>
            </w:rPr>
            <w:tab/>
            <w:t>Operating cost per kWh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14</w:t>
          </w:r>
          <w:r>
            <w:rPr>
              <w:rFonts w:ascii="Times New Roman" w:hAnsi="Times New Roman" w:cs="Times New Roman"/>
              <w:b/>
              <w:sz w:val="24"/>
              <w:szCs w:val="24"/>
            </w:rPr>
            <w:tab/>
            <w:t>Number of Customers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15</w:t>
          </w:r>
          <w:r>
            <w:rPr>
              <w:rFonts w:ascii="Times New Roman" w:hAnsi="Times New Roman" w:cs="Times New Roman"/>
              <w:b/>
              <w:sz w:val="24"/>
              <w:szCs w:val="24"/>
            </w:rPr>
            <w:tab/>
            <w:t>Energy Purchased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Table: 16</w:t>
          </w:r>
          <w:r>
            <w:rPr>
              <w:rFonts w:ascii="Times New Roman" w:hAnsi="Times New Roman" w:cs="Times New Roman"/>
              <w:b/>
              <w:sz w:val="24"/>
              <w:szCs w:val="24"/>
            </w:rPr>
            <w:tab/>
            <w:t>Energy Sales 2012 –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w:t>
          </w:r>
        </w:p>
        <w:p w:rsidR="00462551" w:rsidRDefault="00462551" w:rsidP="00462551">
          <w:pPr>
            <w:spacing w:line="360" w:lineRule="auto"/>
            <w:jc w:val="left"/>
            <w:rPr>
              <w:rFonts w:ascii="Times New Roman" w:hAnsi="Times New Roman" w:cs="Times New Roman"/>
              <w:b/>
              <w:sz w:val="24"/>
              <w:szCs w:val="24"/>
            </w:rPr>
          </w:pPr>
        </w:p>
        <w:p w:rsidR="00462551" w:rsidRDefault="00462551" w:rsidP="00462551">
          <w:pPr>
            <w:spacing w:line="360" w:lineRule="auto"/>
            <w:jc w:val="left"/>
            <w:rPr>
              <w:rFonts w:ascii="Times New Roman" w:hAnsi="Times New Roman" w:cs="Times New Roman"/>
              <w:b/>
              <w:sz w:val="24"/>
              <w:szCs w:val="24"/>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6937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LIST OF GRAPHS</w:t>
          </w:r>
        </w:p>
        <w:p w:rsidR="00462551" w:rsidRDefault="00462551" w:rsidP="00462551">
          <w:pPr>
            <w:spacing w:line="360" w:lineRule="auto"/>
            <w:jc w:val="left"/>
            <w:rPr>
              <w:rFonts w:ascii="Times New Roman" w:hAnsi="Times New Roman" w:cs="Times New Roman"/>
              <w:b/>
              <w:sz w:val="24"/>
              <w:szCs w:val="24"/>
            </w:rPr>
          </w:pP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1</w:t>
          </w:r>
          <w:r>
            <w:rPr>
              <w:rFonts w:ascii="Times New Roman" w:hAnsi="Times New Roman" w:cs="Times New Roman"/>
              <w:b/>
              <w:sz w:val="24"/>
              <w:szCs w:val="24"/>
            </w:rPr>
            <w:tab/>
            <w:t>Total Installed Generation (kW)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2</w:t>
          </w:r>
          <w:r>
            <w:rPr>
              <w:rFonts w:ascii="Times New Roman" w:hAnsi="Times New Roman" w:cs="Times New Roman"/>
              <w:b/>
              <w:sz w:val="24"/>
              <w:szCs w:val="24"/>
            </w:rPr>
            <w:tab/>
            <w:t>Distributed RE Installed Capacity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3</w:t>
          </w:r>
          <w:r>
            <w:rPr>
              <w:rFonts w:ascii="Times New Roman" w:hAnsi="Times New Roman" w:cs="Times New Roman"/>
              <w:b/>
              <w:sz w:val="24"/>
              <w:szCs w:val="24"/>
            </w:rPr>
            <w:tab/>
            <w:t>Distributed RE Energy contribution to the Grid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Figure: 4 </w:t>
          </w:r>
          <w:r>
            <w:rPr>
              <w:rFonts w:ascii="Times New Roman" w:hAnsi="Times New Roman" w:cs="Times New Roman"/>
              <w:b/>
              <w:sz w:val="24"/>
              <w:szCs w:val="24"/>
            </w:rPr>
            <w:tab/>
            <w:t>Percentage Energy Contribution (hydro and Diesel)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4(a)</w:t>
          </w:r>
          <w:r>
            <w:rPr>
              <w:rFonts w:ascii="Times New Roman" w:hAnsi="Times New Roman" w:cs="Times New Roman"/>
              <w:b/>
              <w:sz w:val="24"/>
              <w:szCs w:val="24"/>
            </w:rPr>
            <w:tab/>
            <w:t xml:space="preserve">Trending Hydro to Diesel Generation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5</w:t>
          </w:r>
          <w:r>
            <w:rPr>
              <w:rFonts w:ascii="Times New Roman" w:hAnsi="Times New Roman" w:cs="Times New Roman"/>
              <w:b/>
              <w:sz w:val="24"/>
              <w:szCs w:val="24"/>
            </w:rPr>
            <w:tab/>
            <w:t>Total Energy Generated, Delivered and Sold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5(a)</w:t>
          </w:r>
          <w:r>
            <w:rPr>
              <w:rFonts w:ascii="Times New Roman" w:hAnsi="Times New Roman" w:cs="Times New Roman"/>
              <w:b/>
              <w:sz w:val="24"/>
              <w:szCs w:val="24"/>
            </w:rPr>
            <w:tab/>
            <w:t>Trending Energy Generated, Delivered and Sold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6</w:t>
          </w:r>
          <w:r>
            <w:rPr>
              <w:rFonts w:ascii="Times New Roman" w:hAnsi="Times New Roman" w:cs="Times New Roman"/>
              <w:b/>
              <w:sz w:val="24"/>
              <w:szCs w:val="24"/>
            </w:rPr>
            <w:tab/>
            <w:t>Capacity and Load Factors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7</w:t>
          </w:r>
          <w:r>
            <w:rPr>
              <w:rFonts w:ascii="Times New Roman" w:hAnsi="Times New Roman" w:cs="Times New Roman"/>
              <w:b/>
              <w:sz w:val="24"/>
              <w:szCs w:val="24"/>
            </w:rPr>
            <w:tab/>
            <w:t>Generation Specific Fuel Consumption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8</w:t>
          </w:r>
          <w:r>
            <w:rPr>
              <w:rFonts w:ascii="Times New Roman" w:hAnsi="Times New Roman" w:cs="Times New Roman"/>
              <w:b/>
              <w:sz w:val="24"/>
              <w:szCs w:val="24"/>
            </w:rPr>
            <w:tab/>
            <w:t>System Losses in Percentages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9</w:t>
          </w:r>
          <w:r>
            <w:rPr>
              <w:rFonts w:ascii="Times New Roman" w:hAnsi="Times New Roman" w:cs="Times New Roman"/>
              <w:b/>
              <w:sz w:val="24"/>
              <w:szCs w:val="24"/>
            </w:rPr>
            <w:tab/>
            <w:t>System Summary Outage Report – Aggregate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9(a)</w:t>
          </w:r>
          <w:r>
            <w:rPr>
              <w:rFonts w:ascii="Times New Roman" w:hAnsi="Times New Roman" w:cs="Times New Roman"/>
              <w:b/>
              <w:sz w:val="24"/>
              <w:szCs w:val="24"/>
            </w:rPr>
            <w:tab/>
            <w:t>System Outage Report Summary – T&amp;D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w:t>
          </w: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Figure: 9(b)</w:t>
          </w:r>
          <w:r>
            <w:rPr>
              <w:rFonts w:ascii="Times New Roman" w:hAnsi="Times New Roman" w:cs="Times New Roman"/>
              <w:b/>
              <w:sz w:val="24"/>
              <w:szCs w:val="24"/>
            </w:rPr>
            <w:tab/>
            <w:t>System Outage Report Summary – Generation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w:t>
          </w:r>
        </w:p>
        <w:p w:rsidR="00462551" w:rsidRDefault="00462551" w:rsidP="00462551">
          <w:pPr>
            <w:spacing w:line="360" w:lineRule="auto"/>
            <w:jc w:val="left"/>
            <w:rPr>
              <w:rFonts w:ascii="Times New Roman" w:hAnsi="Times New Roman" w:cs="Times New Roman"/>
              <w:b/>
              <w:sz w:val="24"/>
              <w:szCs w:val="24"/>
            </w:rPr>
          </w:pPr>
        </w:p>
        <w:p w:rsidR="00462551" w:rsidRDefault="00462551" w:rsidP="00462551">
          <w:pPr>
            <w:spacing w:line="360" w:lineRule="auto"/>
            <w:jc w:val="left"/>
            <w:rPr>
              <w:rFonts w:ascii="Times New Roman" w:hAnsi="Times New Roman" w:cs="Times New Roman"/>
              <w:b/>
              <w:sz w:val="24"/>
              <w:szCs w:val="24"/>
            </w:rPr>
          </w:pPr>
          <w:r>
            <w:rPr>
              <w:rFonts w:ascii="Times New Roman" w:hAnsi="Times New Roman" w:cs="Times New Roman"/>
              <w:b/>
              <w:sz w:val="24"/>
              <w:szCs w:val="24"/>
            </w:rPr>
            <w:tab/>
          </w: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462551" w:rsidRDefault="00462551" w:rsidP="00D07323">
          <w:pPr>
            <w:rPr>
              <w:rFonts w:ascii="Times New Roman" w:hAnsi="Times New Roman" w:cs="Times New Roman"/>
              <w:b/>
            </w:rPr>
          </w:pPr>
        </w:p>
        <w:p w:rsidR="009C2654" w:rsidRPr="00D07323" w:rsidRDefault="005A3DA6" w:rsidP="00D07323">
          <w:pPr>
            <w:rPr>
              <w:rFonts w:ascii="Times New Roman" w:hAnsi="Times New Roman" w:cs="Times New Roman"/>
              <w:b/>
              <w:sz w:val="24"/>
              <w:szCs w:val="24"/>
            </w:rPr>
          </w:pPr>
          <w:bookmarkStart w:id="0" w:name="_Toc485128727"/>
          <w:r>
            <w:rPr>
              <w:rFonts w:ascii="Times New Roman" w:hAnsi="Times New Roman" w:cs="Times New Roman"/>
              <w:b/>
            </w:rPr>
            <w:t xml:space="preserve">LIST </w:t>
          </w:r>
          <w:r w:rsidR="009C2654" w:rsidRPr="002E61FA">
            <w:rPr>
              <w:rFonts w:ascii="Times New Roman" w:hAnsi="Times New Roman" w:cs="Times New Roman"/>
              <w:b/>
            </w:rPr>
            <w:t xml:space="preserve"> OF ACRONYMS</w:t>
          </w:r>
          <w:bookmarkEnd w:id="0"/>
          <w:r w:rsidR="009C2654" w:rsidRPr="002E61FA">
            <w:rPr>
              <w:rFonts w:ascii="Times New Roman" w:hAnsi="Times New Roman" w:cs="Times New Roman"/>
              <w:b/>
            </w:rPr>
            <w:t xml:space="preserve"> </w:t>
          </w:r>
        </w:p>
        <w:p w:rsidR="009C2654" w:rsidRPr="002E61FA" w:rsidRDefault="009C2654" w:rsidP="004138AE">
          <w:pPr>
            <w:pStyle w:val="Default"/>
            <w:jc w:val="both"/>
            <w:outlineLvl w:val="0"/>
            <w:rPr>
              <w:rFonts w:ascii="Times New Roman" w:hAnsi="Times New Roman" w:cs="Times New Roman"/>
              <w:b/>
              <w:color w:val="548DD4" w:themeColor="text2" w:themeTint="99"/>
            </w:rPr>
          </w:pPr>
        </w:p>
        <w:p w:rsidR="009C2654"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CARILEC</w:t>
          </w:r>
          <w:r>
            <w:rPr>
              <w:rFonts w:ascii="Times New Roman" w:hAnsi="Times New Roman" w:cs="Times New Roman"/>
            </w:rPr>
            <w:tab/>
          </w:r>
          <w:r>
            <w:rPr>
              <w:rFonts w:ascii="Times New Roman" w:hAnsi="Times New Roman" w:cs="Times New Roman"/>
            </w:rPr>
            <w:tab/>
          </w:r>
          <w:r w:rsidR="009C2654">
            <w:rPr>
              <w:rFonts w:ascii="Times New Roman" w:hAnsi="Times New Roman" w:cs="Times New Roman"/>
            </w:rPr>
            <w:t>Association of Caribbean Electric Utilities</w:t>
          </w:r>
        </w:p>
        <w:p w:rsidR="009C2654" w:rsidRDefault="009C2654" w:rsidP="004138AE">
          <w:pPr>
            <w:pStyle w:val="Default"/>
            <w:spacing w:line="360" w:lineRule="auto"/>
            <w:jc w:val="both"/>
            <w:rPr>
              <w:rFonts w:ascii="Times New Roman" w:hAnsi="Times New Roman" w:cs="Times New Roman"/>
            </w:rPr>
          </w:pPr>
          <w:r w:rsidRPr="009C2654">
            <w:rPr>
              <w:rFonts w:ascii="Times New Roman" w:hAnsi="Times New Roman" w:cs="Times New Roman"/>
            </w:rPr>
            <w:t>DOMLE</w:t>
          </w:r>
          <w:r w:rsidR="002E61FA">
            <w:rPr>
              <w:rFonts w:ascii="Times New Roman" w:hAnsi="Times New Roman" w:cs="Times New Roman"/>
            </w:rPr>
            <w:t>C</w:t>
          </w:r>
          <w:r w:rsidR="008B458E">
            <w:rPr>
              <w:rFonts w:ascii="Times New Roman" w:hAnsi="Times New Roman" w:cs="Times New Roman"/>
            </w:rPr>
            <w:tab/>
          </w:r>
          <w:r w:rsidR="008B458E">
            <w:rPr>
              <w:rFonts w:ascii="Times New Roman" w:hAnsi="Times New Roman" w:cs="Times New Roman"/>
            </w:rPr>
            <w:tab/>
          </w:r>
          <w:r w:rsidRPr="009C2654">
            <w:rPr>
              <w:rFonts w:ascii="Times New Roman" w:hAnsi="Times New Roman" w:cs="Times New Roman"/>
            </w:rPr>
            <w:t>Dominica Electricity Services Limited</w:t>
          </w:r>
        </w:p>
        <w:p w:rsidR="009406D1"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LUCELEC</w:t>
          </w:r>
          <w:r>
            <w:rPr>
              <w:rFonts w:ascii="Times New Roman" w:hAnsi="Times New Roman" w:cs="Times New Roman"/>
            </w:rPr>
            <w:tab/>
          </w:r>
          <w:r>
            <w:rPr>
              <w:rFonts w:ascii="Times New Roman" w:hAnsi="Times New Roman" w:cs="Times New Roman"/>
            </w:rPr>
            <w:tab/>
          </w:r>
          <w:r w:rsidR="009406D1">
            <w:rPr>
              <w:rFonts w:ascii="Times New Roman" w:hAnsi="Times New Roman" w:cs="Times New Roman"/>
            </w:rPr>
            <w:t>St Lucia Electricity Services Limited</w:t>
          </w:r>
        </w:p>
        <w:p w:rsidR="009406D1"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GRENLEC</w:t>
          </w:r>
          <w:r>
            <w:rPr>
              <w:rFonts w:ascii="Times New Roman" w:hAnsi="Times New Roman" w:cs="Times New Roman"/>
            </w:rPr>
            <w:tab/>
          </w:r>
          <w:r>
            <w:rPr>
              <w:rFonts w:ascii="Times New Roman" w:hAnsi="Times New Roman" w:cs="Times New Roman"/>
            </w:rPr>
            <w:tab/>
          </w:r>
          <w:r w:rsidR="009406D1">
            <w:rPr>
              <w:rFonts w:ascii="Times New Roman" w:hAnsi="Times New Roman" w:cs="Times New Roman"/>
            </w:rPr>
            <w:t>Grenada Electricity Services Limited</w:t>
          </w:r>
        </w:p>
        <w:p w:rsidR="003C00B5"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CDC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C00B5">
            <w:rPr>
              <w:rFonts w:ascii="Times New Roman" w:hAnsi="Times New Roman" w:cs="Times New Roman"/>
            </w:rPr>
            <w:t>Commonwealth Development Corporation</w:t>
          </w:r>
        </w:p>
        <w:p w:rsidR="009406D1" w:rsidRDefault="002E61FA" w:rsidP="004138AE">
          <w:pPr>
            <w:pStyle w:val="Default"/>
            <w:spacing w:line="360" w:lineRule="auto"/>
            <w:jc w:val="both"/>
            <w:rPr>
              <w:rFonts w:ascii="Times New Roman" w:hAnsi="Times New Roman" w:cs="Times New Roman"/>
            </w:rPr>
          </w:pPr>
          <w:r>
            <w:rPr>
              <w:rFonts w:ascii="Times New Roman" w:hAnsi="Times New Roman" w:cs="Times New Roman"/>
            </w:rPr>
            <w:t>USIEU</w:t>
          </w:r>
          <w:r w:rsidR="008B458E">
            <w:rPr>
              <w:rFonts w:ascii="Times New Roman" w:hAnsi="Times New Roman" w:cs="Times New Roman"/>
            </w:rPr>
            <w:tab/>
          </w:r>
          <w:r w:rsidR="008B458E">
            <w:rPr>
              <w:rFonts w:ascii="Times New Roman" w:hAnsi="Times New Roman" w:cs="Times New Roman"/>
            </w:rPr>
            <w:tab/>
          </w:r>
          <w:r w:rsidR="008B458E">
            <w:rPr>
              <w:rFonts w:ascii="Times New Roman" w:hAnsi="Times New Roman" w:cs="Times New Roman"/>
            </w:rPr>
            <w:tab/>
          </w:r>
          <w:r w:rsidR="009406D1">
            <w:rPr>
              <w:rFonts w:ascii="Times New Roman" w:hAnsi="Times New Roman" w:cs="Times New Roman"/>
            </w:rPr>
            <w:t>US Investor-Owned Electric Utilities</w:t>
          </w:r>
        </w:p>
        <w:p w:rsidR="009406D1" w:rsidRPr="009C2654"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EEI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06D1">
            <w:rPr>
              <w:rFonts w:ascii="Times New Roman" w:hAnsi="Times New Roman" w:cs="Times New Roman"/>
            </w:rPr>
            <w:t>Edison Electric Institu</w:t>
          </w:r>
          <w:r w:rsidR="00DB352E">
            <w:rPr>
              <w:rFonts w:ascii="Times New Roman" w:hAnsi="Times New Roman" w:cs="Times New Roman"/>
            </w:rPr>
            <w:t>t</w:t>
          </w:r>
          <w:r w:rsidR="009406D1">
            <w:rPr>
              <w:rFonts w:ascii="Times New Roman" w:hAnsi="Times New Roman" w:cs="Times New Roman"/>
            </w:rPr>
            <w:t>e</w:t>
          </w:r>
        </w:p>
        <w:p w:rsidR="009C2654" w:rsidRPr="009C2654"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GWh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2654" w:rsidRPr="009C2654">
            <w:rPr>
              <w:rFonts w:ascii="Times New Roman" w:hAnsi="Times New Roman" w:cs="Times New Roman"/>
            </w:rPr>
            <w:t>Giga</w:t>
          </w:r>
          <w:r w:rsidR="00DB352E">
            <w:rPr>
              <w:rFonts w:ascii="Times New Roman" w:hAnsi="Times New Roman" w:cs="Times New Roman"/>
            </w:rPr>
            <w:t>w</w:t>
          </w:r>
          <w:r w:rsidR="009C2654" w:rsidRPr="009C2654">
            <w:rPr>
              <w:rFonts w:ascii="Times New Roman" w:hAnsi="Times New Roman" w:cs="Times New Roman"/>
            </w:rPr>
            <w:t>att</w:t>
          </w:r>
          <w:r w:rsidR="00DB352E">
            <w:rPr>
              <w:rFonts w:ascii="Times New Roman" w:hAnsi="Times New Roman" w:cs="Times New Roman"/>
            </w:rPr>
            <w:t xml:space="preserve"> </w:t>
          </w:r>
          <w:r w:rsidR="009C2654" w:rsidRPr="009C2654">
            <w:rPr>
              <w:rFonts w:ascii="Times New Roman" w:hAnsi="Times New Roman" w:cs="Times New Roman"/>
            </w:rPr>
            <w:t xml:space="preserve">hours </w:t>
          </w:r>
        </w:p>
        <w:p w:rsidR="009C2654" w:rsidRPr="009C2654"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IPP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2654" w:rsidRPr="009C2654">
            <w:rPr>
              <w:rFonts w:ascii="Times New Roman" w:hAnsi="Times New Roman" w:cs="Times New Roman"/>
            </w:rPr>
            <w:t xml:space="preserve">Independent Power Producer </w:t>
          </w:r>
        </w:p>
        <w:p w:rsidR="009C2654" w:rsidRPr="009C2654"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IRC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2654" w:rsidRPr="009C2654">
            <w:rPr>
              <w:rFonts w:ascii="Times New Roman" w:hAnsi="Times New Roman" w:cs="Times New Roman"/>
            </w:rPr>
            <w:t>Independent Regulatory Commission</w:t>
          </w:r>
        </w:p>
        <w:p w:rsidR="009C2654"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IRP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2654" w:rsidRPr="009C2654">
            <w:rPr>
              <w:rFonts w:ascii="Times New Roman" w:hAnsi="Times New Roman" w:cs="Times New Roman"/>
            </w:rPr>
            <w:t>Integrated Resource Plan</w:t>
          </w:r>
        </w:p>
        <w:p w:rsidR="009C2654" w:rsidRPr="009C2654" w:rsidRDefault="007F3466" w:rsidP="004138AE">
          <w:pPr>
            <w:pStyle w:val="Default"/>
            <w:spacing w:line="360" w:lineRule="auto"/>
            <w:jc w:val="both"/>
            <w:rPr>
              <w:rFonts w:ascii="Times New Roman" w:hAnsi="Times New Roman" w:cs="Times New Roman"/>
            </w:rPr>
          </w:pPr>
          <w:r>
            <w:rPr>
              <w:rFonts w:ascii="Times New Roman" w:hAnsi="Times New Roman" w:cs="Times New Roman"/>
            </w:rPr>
            <w:t>K</w:t>
          </w:r>
          <w:r w:rsidR="002E61FA">
            <w:rPr>
              <w:rFonts w:ascii="Times New Roman" w:hAnsi="Times New Roman" w:cs="Times New Roman"/>
            </w:rPr>
            <w:t>W</w:t>
          </w:r>
          <w:r w:rsidR="008B458E">
            <w:rPr>
              <w:rFonts w:ascii="Times New Roman" w:hAnsi="Times New Roman" w:cs="Times New Roman"/>
            </w:rPr>
            <w:tab/>
          </w:r>
          <w:r w:rsidR="008B458E">
            <w:rPr>
              <w:rFonts w:ascii="Times New Roman" w:hAnsi="Times New Roman" w:cs="Times New Roman"/>
            </w:rPr>
            <w:tab/>
          </w:r>
          <w:r w:rsidR="008B458E">
            <w:rPr>
              <w:rFonts w:ascii="Times New Roman" w:hAnsi="Times New Roman" w:cs="Times New Roman"/>
            </w:rPr>
            <w:tab/>
          </w:r>
          <w:r w:rsidR="009C2654">
            <w:rPr>
              <w:rFonts w:ascii="Times New Roman" w:hAnsi="Times New Roman" w:cs="Times New Roman"/>
            </w:rPr>
            <w:t>Kilowatt</w:t>
          </w:r>
        </w:p>
        <w:p w:rsidR="009C2654" w:rsidRPr="009C2654" w:rsidRDefault="008B458E" w:rsidP="004138AE">
          <w:pPr>
            <w:pStyle w:val="Default"/>
            <w:spacing w:line="360" w:lineRule="auto"/>
            <w:jc w:val="both"/>
            <w:rPr>
              <w:rFonts w:ascii="Times New Roman" w:hAnsi="Times New Roman" w:cs="Times New Roman"/>
            </w:rPr>
          </w:pPr>
          <w:r>
            <w:rPr>
              <w:rFonts w:ascii="Times New Roman" w:hAnsi="Times New Roman" w:cs="Times New Roman"/>
            </w:rPr>
            <w:t>MW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2654" w:rsidRPr="009C2654">
            <w:rPr>
              <w:rFonts w:ascii="Times New Roman" w:hAnsi="Times New Roman" w:cs="Times New Roman"/>
            </w:rPr>
            <w:t xml:space="preserve">Megawatt </w:t>
          </w:r>
        </w:p>
        <w:p w:rsidR="009C2654" w:rsidRDefault="008B458E" w:rsidP="004138AE">
          <w:pPr>
            <w:spacing w:line="360" w:lineRule="auto"/>
            <w:rPr>
              <w:rFonts w:ascii="Times New Roman" w:hAnsi="Times New Roman" w:cs="Times New Roman"/>
              <w:sz w:val="24"/>
              <w:szCs w:val="24"/>
            </w:rPr>
          </w:pPr>
          <w:r>
            <w:rPr>
              <w:rFonts w:ascii="Times New Roman" w:hAnsi="Times New Roman" w:cs="Times New Roman"/>
              <w:sz w:val="24"/>
              <w:szCs w:val="24"/>
            </w:rPr>
            <w:t>PPA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2654" w:rsidRPr="009C2654">
            <w:rPr>
              <w:rFonts w:ascii="Times New Roman" w:hAnsi="Times New Roman" w:cs="Times New Roman"/>
              <w:sz w:val="24"/>
              <w:szCs w:val="24"/>
            </w:rPr>
            <w:t>Power Purchase Agreement</w:t>
          </w:r>
        </w:p>
        <w:p w:rsidR="000E5871" w:rsidRDefault="008B458E" w:rsidP="004138AE">
          <w:pPr>
            <w:spacing w:line="360" w:lineRule="auto"/>
            <w:rPr>
              <w:rFonts w:ascii="Times New Roman" w:hAnsi="Times New Roman" w:cs="Times New Roman"/>
              <w:sz w:val="24"/>
              <w:szCs w:val="24"/>
            </w:rPr>
          </w:pPr>
          <w:r>
            <w:rPr>
              <w:rFonts w:ascii="Times New Roman" w:hAnsi="Times New Roman" w:cs="Times New Roman"/>
              <w:sz w:val="24"/>
              <w:szCs w:val="24"/>
            </w:rPr>
            <w:t>ROA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871">
            <w:rPr>
              <w:rFonts w:ascii="Times New Roman" w:hAnsi="Times New Roman" w:cs="Times New Roman"/>
              <w:sz w:val="24"/>
              <w:szCs w:val="24"/>
            </w:rPr>
            <w:t>Return on Assets</w:t>
          </w:r>
        </w:p>
        <w:p w:rsidR="000E5871" w:rsidRPr="009C2654" w:rsidRDefault="008B458E" w:rsidP="008666F1">
          <w:pPr>
            <w:rPr>
              <w:rFonts w:ascii="Times New Roman" w:hAnsi="Times New Roman" w:cs="Times New Roman"/>
              <w:sz w:val="24"/>
              <w:szCs w:val="24"/>
            </w:rPr>
          </w:pPr>
          <w:r>
            <w:rPr>
              <w:rFonts w:ascii="Times New Roman" w:hAnsi="Times New Roman" w:cs="Times New Roman"/>
              <w:sz w:val="24"/>
              <w:szCs w:val="24"/>
            </w:rPr>
            <w:t>ROE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871">
            <w:rPr>
              <w:rFonts w:ascii="Times New Roman" w:hAnsi="Times New Roman" w:cs="Times New Roman"/>
              <w:sz w:val="24"/>
              <w:szCs w:val="24"/>
            </w:rPr>
            <w:t>Return on Equity</w:t>
          </w:r>
        </w:p>
        <w:p w:rsidR="009C2654" w:rsidRPr="005E12C0" w:rsidRDefault="008B458E" w:rsidP="008666F1">
          <w:pPr>
            <w:spacing w:before="240" w:line="36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61FA" w:rsidRPr="005E12C0">
            <w:rPr>
              <w:rFonts w:ascii="Times New Roman" w:hAnsi="Times New Roman" w:cs="Times New Roman"/>
              <w:sz w:val="24"/>
              <w:szCs w:val="24"/>
            </w:rPr>
            <w:t>Renewable Energy</w:t>
          </w:r>
        </w:p>
        <w:p w:rsidR="008666F1" w:rsidRPr="005E12C0" w:rsidRDefault="008B458E" w:rsidP="008666F1">
          <w:pPr>
            <w:spacing w:line="360" w:lineRule="auto"/>
            <w:rPr>
              <w:rFonts w:ascii="Times New Roman" w:hAnsi="Times New Roman" w:cs="Times New Roman"/>
              <w:sz w:val="24"/>
              <w:szCs w:val="24"/>
            </w:rPr>
          </w:pPr>
          <w:bookmarkStart w:id="1" w:name="_Toc485128728"/>
          <w:r>
            <w:rPr>
              <w:rFonts w:ascii="Times New Roman" w:hAnsi="Times New Roman" w:cs="Times New Roman"/>
              <w:sz w:val="24"/>
              <w:szCs w:val="24"/>
            </w:rPr>
            <w:t>T&amp;D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66F1" w:rsidRPr="005E12C0">
            <w:rPr>
              <w:rFonts w:ascii="Times New Roman" w:hAnsi="Times New Roman" w:cs="Times New Roman"/>
              <w:sz w:val="24"/>
              <w:szCs w:val="24"/>
            </w:rPr>
            <w:t>Transmission and Distribution</w:t>
          </w:r>
        </w:p>
        <w:p w:rsidR="008666F1" w:rsidRPr="005E12C0" w:rsidRDefault="008B458E" w:rsidP="008666F1">
          <w:pPr>
            <w:spacing w:line="360" w:lineRule="auto"/>
            <w:rPr>
              <w:rFonts w:ascii="Times New Roman" w:hAnsi="Times New Roman" w:cs="Times New Roman"/>
              <w:sz w:val="24"/>
              <w:szCs w:val="24"/>
            </w:rPr>
          </w:pPr>
          <w:r>
            <w:rPr>
              <w:rFonts w:ascii="Times New Roman" w:hAnsi="Times New Roman" w:cs="Times New Roman"/>
              <w:sz w:val="24"/>
              <w:szCs w:val="24"/>
            </w:rPr>
            <w:t>SAIDI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66F1" w:rsidRPr="005E12C0">
            <w:rPr>
              <w:rFonts w:ascii="Times New Roman" w:hAnsi="Times New Roman" w:cs="Times New Roman"/>
              <w:sz w:val="24"/>
              <w:szCs w:val="24"/>
            </w:rPr>
            <w:t>System Average Interruption Duration Index</w:t>
          </w:r>
        </w:p>
        <w:p w:rsidR="008666F1" w:rsidRPr="005E12C0" w:rsidRDefault="008B458E" w:rsidP="008666F1">
          <w:pPr>
            <w:spacing w:line="360" w:lineRule="auto"/>
            <w:rPr>
              <w:rFonts w:ascii="Times New Roman" w:hAnsi="Times New Roman" w:cs="Times New Roman"/>
              <w:sz w:val="24"/>
              <w:szCs w:val="24"/>
            </w:rPr>
          </w:pPr>
          <w:r>
            <w:rPr>
              <w:rFonts w:ascii="Times New Roman" w:hAnsi="Times New Roman" w:cs="Times New Roman"/>
              <w:sz w:val="24"/>
              <w:szCs w:val="24"/>
            </w:rPr>
            <w:t>SAIFI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66F1" w:rsidRPr="005E12C0">
            <w:rPr>
              <w:rFonts w:ascii="Times New Roman" w:hAnsi="Times New Roman" w:cs="Times New Roman"/>
              <w:sz w:val="24"/>
              <w:szCs w:val="24"/>
            </w:rPr>
            <w:t>System Average Interruption Frequency Index</w:t>
          </w:r>
        </w:p>
        <w:p w:rsidR="008666F1" w:rsidRPr="005E12C0" w:rsidRDefault="008B458E" w:rsidP="008666F1">
          <w:pPr>
            <w:spacing w:line="360" w:lineRule="auto"/>
            <w:rPr>
              <w:rFonts w:ascii="Times New Roman" w:hAnsi="Times New Roman" w:cs="Times New Roman"/>
              <w:sz w:val="24"/>
              <w:szCs w:val="24"/>
            </w:rPr>
          </w:pPr>
          <w:r>
            <w:rPr>
              <w:rFonts w:ascii="Times New Roman" w:hAnsi="Times New Roman" w:cs="Times New Roman"/>
              <w:sz w:val="24"/>
              <w:szCs w:val="24"/>
            </w:rPr>
            <w:t>CAIDI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66F1" w:rsidRPr="005E12C0">
            <w:rPr>
              <w:rFonts w:ascii="Times New Roman" w:hAnsi="Times New Roman" w:cs="Times New Roman"/>
              <w:sz w:val="24"/>
              <w:szCs w:val="24"/>
            </w:rPr>
            <w:t>Customer Average Interruption Duration Index</w:t>
          </w:r>
        </w:p>
        <w:p w:rsidR="008666F1" w:rsidRPr="004D222C" w:rsidRDefault="008666F1" w:rsidP="008666F1">
          <w:pPr>
            <w:spacing w:line="360" w:lineRule="auto"/>
            <w:rPr>
              <w:rFonts w:ascii="Times New Roman" w:hAnsi="Times New Roman" w:cs="Times New Roman"/>
              <w:b/>
              <w:sz w:val="24"/>
              <w:szCs w:val="24"/>
            </w:rPr>
          </w:pPr>
        </w:p>
        <w:p w:rsidR="006A1582" w:rsidRDefault="006A1582" w:rsidP="004138AE">
          <w:pPr>
            <w:pStyle w:val="Heading1"/>
            <w:rPr>
              <w:rFonts w:ascii="Times New Roman" w:hAnsi="Times New Roman" w:cs="Times New Roman"/>
              <w:b w:val="0"/>
              <w:sz w:val="24"/>
              <w:szCs w:val="24"/>
            </w:rPr>
          </w:pPr>
        </w:p>
        <w:p w:rsidR="006A1582" w:rsidRDefault="006A1582" w:rsidP="004138AE">
          <w:pPr>
            <w:pStyle w:val="Heading1"/>
            <w:rPr>
              <w:rFonts w:ascii="Times New Roman" w:hAnsi="Times New Roman" w:cs="Times New Roman"/>
              <w:b w:val="0"/>
              <w:sz w:val="24"/>
              <w:szCs w:val="24"/>
            </w:rPr>
          </w:pPr>
        </w:p>
        <w:p w:rsidR="006A1582" w:rsidRDefault="006A1582" w:rsidP="004138AE"/>
        <w:p w:rsidR="006A1582" w:rsidRDefault="006A1582" w:rsidP="004138AE"/>
        <w:p w:rsidR="006A1582" w:rsidRDefault="006A1582" w:rsidP="004138AE"/>
        <w:p w:rsidR="006A1582" w:rsidRDefault="006A1582" w:rsidP="004138AE"/>
        <w:p w:rsidR="006A1582" w:rsidRDefault="006A1582" w:rsidP="004138AE"/>
        <w:p w:rsidR="006A1582" w:rsidRDefault="006A1582" w:rsidP="004138AE"/>
        <w:bookmarkEnd w:id="1"/>
        <w:p w:rsidR="006A1582" w:rsidRDefault="006A1582" w:rsidP="004138AE">
          <w:pPr>
            <w:rPr>
              <w:rFonts w:ascii="Times New Roman" w:hAnsi="Times New Roman" w:cs="Times New Roman"/>
              <w:b/>
              <w:sz w:val="24"/>
              <w:szCs w:val="24"/>
            </w:rPr>
          </w:pPr>
        </w:p>
        <w:p w:rsidR="006A1582" w:rsidRDefault="006A1582" w:rsidP="004138AE">
          <w:pPr>
            <w:rPr>
              <w:rFonts w:ascii="Times New Roman" w:hAnsi="Times New Roman" w:cs="Times New Roman"/>
              <w:b/>
              <w:sz w:val="24"/>
              <w:szCs w:val="24"/>
            </w:rPr>
          </w:pPr>
        </w:p>
        <w:p w:rsidR="006A1582" w:rsidRDefault="006A1582" w:rsidP="004138AE">
          <w:pPr>
            <w:rPr>
              <w:rFonts w:ascii="Times New Roman" w:hAnsi="Times New Roman" w:cs="Times New Roman"/>
              <w:b/>
              <w:sz w:val="24"/>
              <w:szCs w:val="24"/>
            </w:rPr>
          </w:pPr>
          <w:r>
            <w:rPr>
              <w:rFonts w:ascii="Times New Roman" w:hAnsi="Times New Roman" w:cs="Times New Roman"/>
              <w:b/>
              <w:sz w:val="24"/>
              <w:szCs w:val="24"/>
            </w:rPr>
            <w:t>DEFINITION OF TERMS</w:t>
          </w:r>
        </w:p>
        <w:p w:rsidR="006A1582" w:rsidRDefault="006A1582" w:rsidP="004138AE">
          <w:pPr>
            <w:rPr>
              <w:rFonts w:ascii="Times New Roman" w:hAnsi="Times New Roman" w:cs="Times New Roman"/>
              <w:b/>
              <w:sz w:val="24"/>
              <w:szCs w:val="24"/>
            </w:rPr>
          </w:pPr>
        </w:p>
        <w:p w:rsidR="009C2654" w:rsidRPr="004D222C" w:rsidRDefault="009C2654" w:rsidP="004138AE">
          <w:pPr>
            <w:spacing w:line="360" w:lineRule="auto"/>
            <w:rPr>
              <w:rFonts w:ascii="Times New Roman" w:hAnsi="Times New Roman" w:cs="Times New Roman"/>
              <w:b/>
              <w:sz w:val="24"/>
              <w:szCs w:val="24"/>
            </w:rPr>
          </w:pPr>
          <w:r w:rsidRPr="004D222C">
            <w:rPr>
              <w:rFonts w:ascii="Times New Roman" w:hAnsi="Times New Roman" w:cs="Times New Roman"/>
              <w:b/>
              <w:sz w:val="24"/>
              <w:szCs w:val="24"/>
            </w:rPr>
            <w:t xml:space="preserve">Capacity Factor - </w:t>
          </w:r>
          <w:r w:rsidRPr="004D222C">
            <w:rPr>
              <w:rFonts w:ascii="Times New Roman" w:hAnsi="Times New Roman" w:cs="Times New Roman"/>
              <w:sz w:val="24"/>
              <w:szCs w:val="24"/>
            </w:rPr>
            <w:t xml:space="preserve">The ratio of the generation plant output over a period of time, to its </w:t>
          </w:r>
          <w:r w:rsidR="00A82637">
            <w:rPr>
              <w:rFonts w:ascii="Times New Roman" w:hAnsi="Times New Roman" w:cs="Times New Roman"/>
              <w:sz w:val="24"/>
              <w:szCs w:val="24"/>
            </w:rPr>
            <w:t xml:space="preserve">    </w:t>
          </w:r>
          <w:r w:rsidRPr="004D222C">
            <w:rPr>
              <w:rFonts w:ascii="Times New Roman" w:hAnsi="Times New Roman" w:cs="Times New Roman"/>
              <w:sz w:val="24"/>
              <w:szCs w:val="24"/>
            </w:rPr>
            <w:t>potential output if it were possible for it to operate at full nameplate capacity continuously over the same period of time.</w:t>
          </w:r>
        </w:p>
        <w:p w:rsidR="009C2654" w:rsidRDefault="009C2654" w:rsidP="004138AE">
          <w:pPr>
            <w:spacing w:line="360" w:lineRule="auto"/>
            <w:rPr>
              <w:rFonts w:ascii="Times New Roman" w:hAnsi="Times New Roman" w:cs="Times New Roman"/>
              <w:sz w:val="24"/>
              <w:szCs w:val="24"/>
            </w:rPr>
          </w:pPr>
          <w:r w:rsidRPr="004D222C">
            <w:rPr>
              <w:rFonts w:ascii="Times New Roman" w:hAnsi="Times New Roman" w:cs="Times New Roman"/>
              <w:b/>
              <w:sz w:val="24"/>
              <w:szCs w:val="24"/>
            </w:rPr>
            <w:t xml:space="preserve">Distributed RE – </w:t>
          </w:r>
          <w:r w:rsidR="00C51746">
            <w:rPr>
              <w:rFonts w:ascii="Times New Roman" w:hAnsi="Times New Roman" w:cs="Times New Roman"/>
              <w:sz w:val="24"/>
              <w:szCs w:val="24"/>
            </w:rPr>
            <w:t xml:space="preserve">Distributed Renewable </w:t>
          </w:r>
          <w:r w:rsidRPr="004D222C">
            <w:rPr>
              <w:rFonts w:ascii="Times New Roman" w:hAnsi="Times New Roman" w:cs="Times New Roman"/>
              <w:sz w:val="24"/>
              <w:szCs w:val="24"/>
            </w:rPr>
            <w:t>Energy speci</w:t>
          </w:r>
          <w:r w:rsidR="00C51746">
            <w:rPr>
              <w:rFonts w:ascii="Times New Roman" w:hAnsi="Times New Roman" w:cs="Times New Roman"/>
              <w:sz w:val="24"/>
              <w:szCs w:val="24"/>
            </w:rPr>
            <w:t>fically p</w:t>
          </w:r>
          <w:r w:rsidRPr="004D222C">
            <w:rPr>
              <w:rFonts w:ascii="Times New Roman" w:hAnsi="Times New Roman" w:cs="Times New Roman"/>
              <w:sz w:val="24"/>
              <w:szCs w:val="24"/>
            </w:rPr>
            <w:t xml:space="preserve">hotovoltaic and </w:t>
          </w:r>
          <w:r w:rsidR="00F86120">
            <w:rPr>
              <w:rFonts w:ascii="Times New Roman" w:hAnsi="Times New Roman" w:cs="Times New Roman"/>
              <w:sz w:val="24"/>
              <w:szCs w:val="24"/>
            </w:rPr>
            <w:t xml:space="preserve">mini hydroelectric plants </w:t>
          </w:r>
          <w:r w:rsidR="003B3B2A">
            <w:rPr>
              <w:rFonts w:ascii="Times New Roman" w:hAnsi="Times New Roman" w:cs="Times New Roman"/>
              <w:sz w:val="24"/>
              <w:szCs w:val="24"/>
            </w:rPr>
            <w:t xml:space="preserve"> and </w:t>
          </w:r>
          <w:r w:rsidRPr="004D222C">
            <w:rPr>
              <w:rFonts w:ascii="Times New Roman" w:hAnsi="Times New Roman" w:cs="Times New Roman"/>
              <w:sz w:val="24"/>
              <w:szCs w:val="24"/>
            </w:rPr>
            <w:t>small wind turbines.</w:t>
          </w:r>
        </w:p>
        <w:p w:rsidR="00F86120" w:rsidRPr="004D222C" w:rsidRDefault="00F86120" w:rsidP="004138AE">
          <w:pPr>
            <w:spacing w:line="360" w:lineRule="auto"/>
            <w:rPr>
              <w:rFonts w:ascii="Times New Roman" w:hAnsi="Times New Roman" w:cs="Times New Roman"/>
              <w:sz w:val="24"/>
              <w:szCs w:val="24"/>
            </w:rPr>
          </w:pPr>
          <w:r w:rsidRPr="003B3B2A">
            <w:rPr>
              <w:rFonts w:ascii="Times New Roman" w:hAnsi="Times New Roman" w:cs="Times New Roman"/>
              <w:b/>
              <w:sz w:val="24"/>
              <w:szCs w:val="24"/>
            </w:rPr>
            <w:t>Watt</w:t>
          </w:r>
          <w:r>
            <w:rPr>
              <w:rFonts w:ascii="Times New Roman" w:hAnsi="Times New Roman" w:cs="Times New Roman"/>
              <w:sz w:val="24"/>
              <w:szCs w:val="24"/>
            </w:rPr>
            <w:t xml:space="preserve"> </w:t>
          </w:r>
          <w:r w:rsidR="003B3B2A">
            <w:rPr>
              <w:rFonts w:ascii="Times New Roman" w:hAnsi="Times New Roman" w:cs="Times New Roman"/>
              <w:sz w:val="24"/>
              <w:szCs w:val="24"/>
            </w:rPr>
            <w:t>–</w:t>
          </w:r>
          <w:r>
            <w:rPr>
              <w:rFonts w:ascii="Times New Roman" w:hAnsi="Times New Roman" w:cs="Times New Roman"/>
              <w:sz w:val="24"/>
              <w:szCs w:val="24"/>
            </w:rPr>
            <w:t xml:space="preserve"> </w:t>
          </w:r>
          <w:r w:rsidR="003B3B2A">
            <w:rPr>
              <w:rFonts w:ascii="Times New Roman" w:hAnsi="Times New Roman" w:cs="Times New Roman"/>
              <w:sz w:val="24"/>
              <w:szCs w:val="24"/>
            </w:rPr>
            <w:t>One  unit of power</w:t>
          </w:r>
        </w:p>
        <w:p w:rsidR="009C2654" w:rsidRPr="004D222C" w:rsidRDefault="009C2654" w:rsidP="004138AE">
          <w:pPr>
            <w:spacing w:line="360" w:lineRule="auto"/>
            <w:rPr>
              <w:rFonts w:ascii="Times New Roman" w:hAnsi="Times New Roman" w:cs="Times New Roman"/>
              <w:b/>
              <w:sz w:val="24"/>
              <w:szCs w:val="24"/>
            </w:rPr>
          </w:pPr>
          <w:r w:rsidRPr="004D222C">
            <w:rPr>
              <w:rFonts w:ascii="Times New Roman" w:hAnsi="Times New Roman" w:cs="Times New Roman"/>
              <w:b/>
              <w:sz w:val="24"/>
              <w:szCs w:val="24"/>
            </w:rPr>
            <w:t xml:space="preserve">Kilowatt (kW) – </w:t>
          </w:r>
          <w:r w:rsidRPr="004D222C">
            <w:rPr>
              <w:rFonts w:ascii="Times New Roman" w:hAnsi="Times New Roman" w:cs="Times New Roman"/>
              <w:sz w:val="24"/>
              <w:szCs w:val="24"/>
            </w:rPr>
            <w:t>One thousand watts.</w:t>
          </w:r>
        </w:p>
        <w:p w:rsidR="009C2654" w:rsidRPr="004D222C" w:rsidRDefault="009C2654" w:rsidP="004138AE">
          <w:pPr>
            <w:spacing w:line="360" w:lineRule="auto"/>
            <w:rPr>
              <w:rFonts w:ascii="Times New Roman" w:hAnsi="Times New Roman" w:cs="Times New Roman"/>
              <w:b/>
              <w:sz w:val="24"/>
              <w:szCs w:val="24"/>
            </w:rPr>
          </w:pPr>
          <w:r w:rsidRPr="004D222C">
            <w:rPr>
              <w:rFonts w:ascii="Times New Roman" w:hAnsi="Times New Roman" w:cs="Times New Roman"/>
              <w:b/>
              <w:sz w:val="24"/>
              <w:szCs w:val="24"/>
            </w:rPr>
            <w:t xml:space="preserve">Load Factor – </w:t>
          </w:r>
          <w:r w:rsidRPr="004D222C">
            <w:rPr>
              <w:rFonts w:ascii="Times New Roman" w:hAnsi="Times New Roman" w:cs="Times New Roman"/>
              <w:sz w:val="24"/>
              <w:szCs w:val="24"/>
            </w:rPr>
            <w:t>Average demand divided by peak demand.</w:t>
          </w:r>
        </w:p>
        <w:p w:rsidR="009C2654" w:rsidRPr="004D222C" w:rsidRDefault="009C2654" w:rsidP="004138AE">
          <w:pPr>
            <w:spacing w:line="360" w:lineRule="auto"/>
            <w:rPr>
              <w:rFonts w:ascii="Times New Roman" w:hAnsi="Times New Roman" w:cs="Times New Roman"/>
              <w:b/>
              <w:sz w:val="24"/>
              <w:szCs w:val="24"/>
            </w:rPr>
          </w:pPr>
          <w:r w:rsidRPr="004D222C">
            <w:rPr>
              <w:rFonts w:ascii="Times New Roman" w:hAnsi="Times New Roman" w:cs="Times New Roman"/>
              <w:b/>
              <w:sz w:val="24"/>
              <w:szCs w:val="24"/>
            </w:rPr>
            <w:t xml:space="preserve">Megawatt (MW) – </w:t>
          </w:r>
          <w:r w:rsidRPr="004D222C">
            <w:rPr>
              <w:rFonts w:ascii="Times New Roman" w:hAnsi="Times New Roman" w:cs="Times New Roman"/>
              <w:sz w:val="24"/>
              <w:szCs w:val="24"/>
            </w:rPr>
            <w:t>One million watts</w:t>
          </w:r>
        </w:p>
        <w:p w:rsidR="009C2654" w:rsidRPr="004D222C" w:rsidRDefault="002E61FA" w:rsidP="004138AE">
          <w:pPr>
            <w:spacing w:line="360" w:lineRule="auto"/>
            <w:rPr>
              <w:rFonts w:ascii="Times New Roman" w:hAnsi="Times New Roman" w:cs="Times New Roman"/>
              <w:sz w:val="24"/>
              <w:szCs w:val="24"/>
            </w:rPr>
          </w:pPr>
          <w:r w:rsidRPr="00656CC1">
            <w:rPr>
              <w:rFonts w:ascii="Times New Roman" w:hAnsi="Times New Roman" w:cs="Times New Roman"/>
              <w:b/>
              <w:sz w:val="24"/>
              <w:szCs w:val="24"/>
            </w:rPr>
            <w:t>Renewable Energy</w:t>
          </w:r>
          <w:r>
            <w:rPr>
              <w:rFonts w:ascii="Times New Roman" w:hAnsi="Times New Roman" w:cs="Times New Roman"/>
              <w:sz w:val="24"/>
              <w:szCs w:val="24"/>
            </w:rPr>
            <w:t xml:space="preserve"> -</w:t>
          </w:r>
          <w:r w:rsidR="009C2654" w:rsidRPr="004D222C">
            <w:rPr>
              <w:rFonts w:ascii="Times New Roman" w:hAnsi="Times New Roman" w:cs="Times New Roman"/>
              <w:sz w:val="24"/>
              <w:szCs w:val="24"/>
            </w:rPr>
            <w:t xml:space="preserve"> energy derived from renewable sources such as the sun, wind, water, wave energy</w:t>
          </w:r>
          <w:r w:rsidR="00C51746">
            <w:rPr>
              <w:rFonts w:ascii="Times New Roman" w:hAnsi="Times New Roman" w:cs="Times New Roman"/>
              <w:sz w:val="24"/>
              <w:szCs w:val="24"/>
            </w:rPr>
            <w:t>, geothermal</w:t>
          </w:r>
          <w:r w:rsidR="009C2654" w:rsidRPr="004D222C">
            <w:rPr>
              <w:rFonts w:ascii="Times New Roman" w:hAnsi="Times New Roman" w:cs="Times New Roman"/>
              <w:sz w:val="24"/>
              <w:szCs w:val="24"/>
            </w:rPr>
            <w:t xml:space="preserve"> and the like.</w:t>
          </w:r>
        </w:p>
        <w:p w:rsidR="00B40EDC" w:rsidRDefault="009C2654" w:rsidP="00B40EDC">
          <w:pPr>
            <w:spacing w:line="360" w:lineRule="auto"/>
            <w:rPr>
              <w:rFonts w:ascii="Times New Roman" w:hAnsi="Times New Roman" w:cs="Times New Roman"/>
              <w:b/>
              <w:sz w:val="24"/>
              <w:szCs w:val="24"/>
            </w:rPr>
          </w:pPr>
          <w:r w:rsidRPr="004D222C">
            <w:rPr>
              <w:rFonts w:ascii="Times New Roman" w:hAnsi="Times New Roman" w:cs="Times New Roman"/>
              <w:b/>
              <w:sz w:val="24"/>
              <w:szCs w:val="24"/>
            </w:rPr>
            <w:t xml:space="preserve">System Losses – </w:t>
          </w:r>
          <w:r w:rsidRPr="004D222C">
            <w:rPr>
              <w:rFonts w:ascii="Times New Roman" w:hAnsi="Times New Roman" w:cs="Times New Roman"/>
              <w:sz w:val="24"/>
              <w:szCs w:val="24"/>
            </w:rPr>
            <w:t>Loss of energy incurred in transmission and distribution over conductors as well as from theft or human error in reading the consumption quantities</w:t>
          </w:r>
          <w:r w:rsidRPr="004D222C">
            <w:rPr>
              <w:rFonts w:ascii="Times New Roman" w:hAnsi="Times New Roman" w:cs="Times New Roman"/>
              <w:b/>
              <w:sz w:val="24"/>
              <w:szCs w:val="24"/>
            </w:rPr>
            <w:t xml:space="preserve">. </w:t>
          </w:r>
        </w:p>
        <w:p w:rsidR="00506D6A" w:rsidRDefault="00506D6A" w:rsidP="00B40EDC">
          <w:pPr>
            <w:spacing w:line="360" w:lineRule="auto"/>
            <w:rPr>
              <w:rFonts w:ascii="Times New Roman" w:hAnsi="Times New Roman" w:cs="Times New Roman"/>
              <w:b/>
              <w:sz w:val="24"/>
              <w:szCs w:val="24"/>
            </w:rPr>
          </w:pPr>
        </w:p>
        <w:p w:rsidR="00506D6A" w:rsidRDefault="00506D6A" w:rsidP="00B40EDC">
          <w:pPr>
            <w:spacing w:line="360" w:lineRule="auto"/>
            <w:rPr>
              <w:rFonts w:ascii="Times New Roman" w:hAnsi="Times New Roman" w:cs="Times New Roman"/>
              <w:b/>
              <w:sz w:val="24"/>
              <w:szCs w:val="24"/>
            </w:rPr>
          </w:pPr>
        </w:p>
        <w:p w:rsidR="00506D6A" w:rsidRDefault="00506D6A" w:rsidP="00B40EDC">
          <w:pPr>
            <w:spacing w:line="360" w:lineRule="auto"/>
            <w:rPr>
              <w:rFonts w:ascii="Times New Roman" w:hAnsi="Times New Roman" w:cs="Times New Roman"/>
              <w:b/>
              <w:sz w:val="24"/>
              <w:szCs w:val="24"/>
            </w:rPr>
          </w:pPr>
        </w:p>
        <w:p w:rsidR="00506D6A" w:rsidRDefault="00506D6A" w:rsidP="00B40EDC">
          <w:pPr>
            <w:spacing w:line="360" w:lineRule="auto"/>
            <w:rPr>
              <w:rFonts w:ascii="Times New Roman" w:hAnsi="Times New Roman" w:cs="Times New Roman"/>
              <w:b/>
              <w:sz w:val="24"/>
              <w:szCs w:val="24"/>
            </w:rPr>
          </w:pPr>
        </w:p>
        <w:p w:rsidR="00506D6A" w:rsidRDefault="00506D6A" w:rsidP="00B40EDC">
          <w:pPr>
            <w:spacing w:line="360" w:lineRule="auto"/>
            <w:rPr>
              <w:rFonts w:ascii="Times New Roman" w:hAnsi="Times New Roman" w:cs="Times New Roman"/>
              <w:b/>
              <w:sz w:val="24"/>
              <w:szCs w:val="24"/>
            </w:rPr>
          </w:pPr>
        </w:p>
        <w:p w:rsidR="00506D6A" w:rsidRDefault="00506D6A" w:rsidP="00B40EDC">
          <w:pPr>
            <w:spacing w:line="360" w:lineRule="auto"/>
            <w:rPr>
              <w:rFonts w:ascii="Times New Roman" w:hAnsi="Times New Roman" w:cs="Times New Roman"/>
              <w:b/>
              <w:sz w:val="24"/>
              <w:szCs w:val="24"/>
            </w:rPr>
          </w:pPr>
        </w:p>
        <w:p w:rsidR="00506D6A" w:rsidRDefault="00506D6A" w:rsidP="00B40EDC">
          <w:pPr>
            <w:spacing w:line="360" w:lineRule="auto"/>
            <w:rPr>
              <w:rFonts w:ascii="Times New Roman" w:hAnsi="Times New Roman" w:cs="Times New Roman"/>
              <w:b/>
              <w:sz w:val="24"/>
              <w:szCs w:val="24"/>
            </w:rPr>
          </w:pPr>
        </w:p>
        <w:p w:rsidR="00506D6A" w:rsidRDefault="00506D6A" w:rsidP="00B40EDC">
          <w:pPr>
            <w:spacing w:line="360" w:lineRule="auto"/>
            <w:rPr>
              <w:rFonts w:ascii="Times New Roman" w:hAnsi="Times New Roman" w:cs="Times New Roman"/>
              <w:b/>
              <w:sz w:val="24"/>
              <w:szCs w:val="24"/>
            </w:rPr>
          </w:pPr>
        </w:p>
        <w:p w:rsidR="00506D6A" w:rsidRDefault="00506D6A" w:rsidP="00B40EDC">
          <w:pPr>
            <w:spacing w:line="360" w:lineRule="auto"/>
            <w:rPr>
              <w:rFonts w:ascii="Times New Roman" w:hAnsi="Times New Roman" w:cs="Times New Roman"/>
              <w:b/>
              <w:sz w:val="24"/>
              <w:szCs w:val="24"/>
            </w:rPr>
          </w:pPr>
        </w:p>
        <w:p w:rsidR="00462551" w:rsidRDefault="00462551" w:rsidP="00506D6A">
          <w:pPr>
            <w:spacing w:line="360" w:lineRule="auto"/>
            <w:jc w:val="left"/>
            <w:rPr>
              <w:rFonts w:ascii="Times New Roman" w:hAnsi="Times New Roman" w:cs="Times New Roman"/>
              <w:b/>
              <w:sz w:val="24"/>
              <w:szCs w:val="24"/>
            </w:rPr>
            <w:sectPr w:rsidR="00462551" w:rsidSect="008C0E8C">
              <w:pgSz w:w="12240" w:h="15840"/>
              <w:pgMar w:top="1440" w:right="1710" w:bottom="1440" w:left="1440" w:header="720" w:footer="720" w:gutter="0"/>
              <w:pgNumType w:fmt="lowerRoman" w:start="1"/>
              <w:cols w:space="720"/>
              <w:titlePg/>
              <w:docGrid w:linePitch="360"/>
            </w:sectPr>
          </w:pPr>
        </w:p>
        <w:p w:rsidR="00A95F38" w:rsidRPr="008752BA" w:rsidRDefault="008752BA" w:rsidP="008752BA">
          <w:pPr>
            <w:outlineLvl w:val="0"/>
            <w:rPr>
              <w:rFonts w:ascii="Times New Roman" w:hAnsi="Times New Roman" w:cs="Times New Roman"/>
              <w:b/>
              <w:sz w:val="24"/>
              <w:szCs w:val="24"/>
              <w:u w:val="single"/>
            </w:rPr>
          </w:pPr>
          <w:bookmarkStart w:id="2" w:name="_Toc485128729"/>
          <w:r>
            <w:rPr>
              <w:rFonts w:ascii="Times New Roman" w:hAnsi="Times New Roman" w:cs="Times New Roman"/>
              <w:b/>
              <w:sz w:val="24"/>
              <w:szCs w:val="24"/>
            </w:rPr>
            <w:lastRenderedPageBreak/>
            <w:t xml:space="preserve">1.0 </w:t>
          </w:r>
          <w:r w:rsidR="0029344C" w:rsidRPr="008752BA">
            <w:rPr>
              <w:rFonts w:ascii="Times New Roman" w:hAnsi="Times New Roman" w:cs="Times New Roman"/>
              <w:b/>
              <w:sz w:val="24"/>
              <w:szCs w:val="24"/>
            </w:rPr>
            <w:t>INTRODUCTION</w:t>
          </w:r>
          <w:bookmarkEnd w:id="2"/>
          <w:r w:rsidR="00A95F38" w:rsidRPr="008752BA">
            <w:rPr>
              <w:rFonts w:ascii="Times New Roman" w:hAnsi="Times New Roman" w:cs="Times New Roman"/>
              <w:b/>
              <w:sz w:val="24"/>
              <w:szCs w:val="24"/>
              <w:u w:val="single"/>
            </w:rPr>
            <w:t xml:space="preserve"> </w:t>
          </w:r>
        </w:p>
        <w:p w:rsidR="007A0BF0" w:rsidRDefault="007A0BF0" w:rsidP="004138AE">
          <w:pPr>
            <w:outlineLvl w:val="0"/>
            <w:rPr>
              <w:rFonts w:ascii="Times New Roman" w:hAnsi="Times New Roman" w:cs="Times New Roman"/>
              <w:b/>
              <w:sz w:val="24"/>
              <w:szCs w:val="24"/>
              <w:u w:val="single"/>
            </w:rPr>
          </w:pPr>
        </w:p>
        <w:p w:rsidR="007A0BF0" w:rsidRPr="00BA7C56" w:rsidRDefault="007A0BF0" w:rsidP="004138AE">
          <w:pPr>
            <w:outlineLvl w:val="0"/>
            <w:rPr>
              <w:rFonts w:ascii="Times New Roman" w:hAnsi="Times New Roman" w:cs="Times New Roman"/>
              <w:b/>
              <w:sz w:val="24"/>
              <w:szCs w:val="24"/>
            </w:rPr>
          </w:pPr>
          <w:bookmarkStart w:id="3" w:name="_Toc485128730"/>
          <w:r w:rsidRPr="00BA7C56">
            <w:rPr>
              <w:rFonts w:ascii="Times New Roman" w:hAnsi="Times New Roman" w:cs="Times New Roman"/>
              <w:b/>
              <w:sz w:val="24"/>
              <w:szCs w:val="24"/>
            </w:rPr>
            <w:t>L</w:t>
          </w:r>
          <w:r w:rsidR="00627B7E">
            <w:rPr>
              <w:rFonts w:ascii="Times New Roman" w:hAnsi="Times New Roman" w:cs="Times New Roman"/>
              <w:b/>
              <w:sz w:val="24"/>
              <w:szCs w:val="24"/>
            </w:rPr>
            <w:t>egal Framework</w:t>
          </w:r>
          <w:bookmarkEnd w:id="3"/>
        </w:p>
        <w:p w:rsidR="00C97E7E" w:rsidRPr="00BA7C56" w:rsidRDefault="00C97E7E" w:rsidP="004138AE">
          <w:pPr>
            <w:pStyle w:val="NoSpacing"/>
            <w:jc w:val="both"/>
            <w:rPr>
              <w:rFonts w:ascii="Times New Roman" w:hAnsi="Times New Roman" w:cs="Times New Roman"/>
              <w:sz w:val="24"/>
              <w:szCs w:val="24"/>
              <w:u w:val="single"/>
            </w:rPr>
          </w:pPr>
        </w:p>
        <w:p w:rsidR="00D70876" w:rsidRPr="0063340F" w:rsidRDefault="00D70876" w:rsidP="004138AE">
          <w:pPr>
            <w:pStyle w:val="NoSpacing"/>
            <w:jc w:val="both"/>
            <w:rPr>
              <w:rFonts w:ascii="Times New Roman" w:hAnsi="Times New Roman" w:cs="Times New Roman"/>
              <w:sz w:val="24"/>
              <w:szCs w:val="24"/>
            </w:rPr>
          </w:pPr>
          <w:r w:rsidRPr="00BA7C56">
            <w:rPr>
              <w:rFonts w:ascii="Times New Roman" w:hAnsi="Times New Roman" w:cs="Times New Roman"/>
              <w:sz w:val="24"/>
              <w:szCs w:val="24"/>
            </w:rPr>
            <w:t>The</w:t>
          </w:r>
          <w:r>
            <w:rPr>
              <w:rFonts w:ascii="Times New Roman" w:hAnsi="Times New Roman" w:cs="Times New Roman"/>
              <w:sz w:val="24"/>
              <w:szCs w:val="24"/>
            </w:rPr>
            <w:t xml:space="preserve"> Independent Regulatory Commission (IRC) was established by the </w:t>
          </w:r>
          <w:r w:rsidRPr="00BA7C56">
            <w:rPr>
              <w:rFonts w:ascii="Times New Roman" w:hAnsi="Times New Roman" w:cs="Times New Roman"/>
              <w:sz w:val="24"/>
              <w:szCs w:val="24"/>
            </w:rPr>
            <w:t>Electricity Su</w:t>
          </w:r>
          <w:r>
            <w:rPr>
              <w:rFonts w:ascii="Times New Roman" w:hAnsi="Times New Roman" w:cs="Times New Roman"/>
              <w:sz w:val="24"/>
              <w:szCs w:val="24"/>
            </w:rPr>
            <w:t>pply Act, No. 10 of 2006, as the regulator for</w:t>
          </w:r>
          <w:r w:rsidRPr="00BA7C56">
            <w:rPr>
              <w:rFonts w:ascii="Times New Roman" w:hAnsi="Times New Roman" w:cs="Times New Roman"/>
              <w:sz w:val="24"/>
              <w:szCs w:val="24"/>
            </w:rPr>
            <w:t xml:space="preserve"> the supply of electricity in the Commonwealth of Dominica.  </w:t>
          </w:r>
          <w:r>
            <w:rPr>
              <w:rFonts w:ascii="Times New Roman" w:hAnsi="Times New Roman" w:cs="Times New Roman"/>
              <w:sz w:val="24"/>
              <w:szCs w:val="24"/>
            </w:rPr>
            <w:t>T</w:t>
          </w:r>
          <w:r w:rsidRPr="00A35CD4">
            <w:rPr>
              <w:rFonts w:ascii="Times New Roman" w:hAnsi="Times New Roman" w:cs="Times New Roman"/>
              <w:sz w:val="24"/>
              <w:szCs w:val="24"/>
            </w:rPr>
            <w:t>he Commission’s key objective</w:t>
          </w:r>
          <w:r>
            <w:rPr>
              <w:rFonts w:ascii="Times New Roman" w:hAnsi="Times New Roman" w:cs="Times New Roman"/>
              <w:sz w:val="24"/>
              <w:szCs w:val="24"/>
            </w:rPr>
            <w:t xml:space="preserve">s are; </w:t>
          </w:r>
          <w:r w:rsidRPr="00A35CD4">
            <w:rPr>
              <w:rFonts w:ascii="Times New Roman" w:hAnsi="Times New Roman" w:cs="Times New Roman"/>
              <w:sz w:val="24"/>
              <w:szCs w:val="24"/>
            </w:rPr>
            <w:t xml:space="preserve">to monitor </w:t>
          </w:r>
          <w:r>
            <w:rPr>
              <w:rFonts w:ascii="Times New Roman" w:hAnsi="Times New Roman" w:cs="Times New Roman"/>
              <w:sz w:val="24"/>
              <w:szCs w:val="24"/>
            </w:rPr>
            <w:t>the performance of the company, to set tariffs</w:t>
          </w:r>
          <w:r w:rsidRPr="00A35CD4">
            <w:rPr>
              <w:rFonts w:ascii="Times New Roman" w:hAnsi="Times New Roman" w:cs="Times New Roman"/>
              <w:sz w:val="24"/>
              <w:szCs w:val="24"/>
            </w:rPr>
            <w:t xml:space="preserve"> that are cost effective</w:t>
          </w:r>
          <w:r>
            <w:rPr>
              <w:rFonts w:ascii="Times New Roman" w:hAnsi="Times New Roman" w:cs="Times New Roman"/>
              <w:sz w:val="24"/>
              <w:szCs w:val="24"/>
            </w:rPr>
            <w:t>,</w:t>
          </w:r>
          <w:r w:rsidRPr="00A35CD4">
            <w:rPr>
              <w:rStyle w:val="NoSpacingChar"/>
              <w:rFonts w:ascii="Times New Roman" w:hAnsi="Times New Roman" w:cs="Times New Roman"/>
              <w:sz w:val="24"/>
              <w:szCs w:val="24"/>
            </w:rPr>
            <w:t xml:space="preserve"> and </w:t>
          </w:r>
          <w:r>
            <w:rPr>
              <w:rStyle w:val="NoSpacingChar"/>
              <w:rFonts w:ascii="Times New Roman" w:hAnsi="Times New Roman" w:cs="Times New Roman"/>
              <w:sz w:val="24"/>
              <w:szCs w:val="24"/>
            </w:rPr>
            <w:t xml:space="preserve">to </w:t>
          </w:r>
          <w:r w:rsidRPr="00A35CD4">
            <w:rPr>
              <w:rStyle w:val="NoSpacingChar"/>
              <w:rFonts w:ascii="Times New Roman" w:hAnsi="Times New Roman" w:cs="Times New Roman"/>
              <w:sz w:val="24"/>
              <w:szCs w:val="24"/>
            </w:rPr>
            <w:t>balance the interests</w:t>
          </w:r>
          <w:r w:rsidRPr="00A35CD4">
            <w:rPr>
              <w:rFonts w:ascii="Times New Roman" w:hAnsi="Times New Roman" w:cs="Times New Roman"/>
              <w:sz w:val="24"/>
              <w:szCs w:val="24"/>
            </w:rPr>
            <w:t xml:space="preserve"> of consumers and service providers alike.</w:t>
          </w:r>
          <w:r w:rsidRPr="0063340F">
            <w:rPr>
              <w:rFonts w:ascii="Times New Roman" w:hAnsi="Times New Roman" w:cs="Times New Roman"/>
              <w:sz w:val="24"/>
              <w:szCs w:val="24"/>
            </w:rPr>
            <w:t xml:space="preserve"> </w:t>
          </w:r>
        </w:p>
        <w:p w:rsidR="00D70876" w:rsidRPr="00BA7C56" w:rsidRDefault="00D70876" w:rsidP="004138AE">
          <w:pPr>
            <w:pStyle w:val="NoSpacing"/>
            <w:jc w:val="both"/>
            <w:rPr>
              <w:rFonts w:ascii="Times New Roman" w:hAnsi="Times New Roman" w:cs="Times New Roman"/>
              <w:sz w:val="24"/>
              <w:szCs w:val="24"/>
            </w:rPr>
          </w:pPr>
        </w:p>
        <w:p w:rsidR="00D70876" w:rsidRPr="00BA7C56" w:rsidRDefault="00D70876" w:rsidP="004138AE">
          <w:pPr>
            <w:pStyle w:val="NoSpacing"/>
            <w:jc w:val="both"/>
            <w:rPr>
              <w:rFonts w:ascii="Times New Roman" w:hAnsi="Times New Roman" w:cs="Times New Roman"/>
              <w:sz w:val="24"/>
              <w:szCs w:val="24"/>
            </w:rPr>
          </w:pPr>
          <w:r w:rsidRPr="00717CAC">
            <w:rPr>
              <w:rFonts w:ascii="Times New Roman" w:hAnsi="Times New Roman" w:cs="Times New Roman"/>
              <w:sz w:val="24"/>
              <w:szCs w:val="24"/>
            </w:rPr>
            <w:t xml:space="preserve">Section 19 </w:t>
          </w:r>
          <w:r>
            <w:rPr>
              <w:rFonts w:ascii="Times New Roman" w:hAnsi="Times New Roman" w:cs="Times New Roman"/>
              <w:sz w:val="24"/>
              <w:szCs w:val="24"/>
            </w:rPr>
            <w:t xml:space="preserve">of the </w:t>
          </w:r>
          <w:r w:rsidRPr="00BA7C56">
            <w:rPr>
              <w:rFonts w:ascii="Times New Roman" w:hAnsi="Times New Roman" w:cs="Times New Roman"/>
              <w:sz w:val="24"/>
              <w:szCs w:val="24"/>
            </w:rPr>
            <w:t>Act provide</w:t>
          </w:r>
          <w:r>
            <w:rPr>
              <w:rFonts w:ascii="Times New Roman" w:hAnsi="Times New Roman" w:cs="Times New Roman"/>
              <w:sz w:val="24"/>
              <w:szCs w:val="24"/>
            </w:rPr>
            <w:t>s</w:t>
          </w:r>
          <w:r w:rsidRPr="00BA7C56">
            <w:rPr>
              <w:rFonts w:ascii="Times New Roman" w:hAnsi="Times New Roman" w:cs="Times New Roman"/>
              <w:sz w:val="24"/>
              <w:szCs w:val="24"/>
            </w:rPr>
            <w:t xml:space="preserve"> the </w:t>
          </w:r>
          <w:r>
            <w:rPr>
              <w:rFonts w:ascii="Times New Roman" w:hAnsi="Times New Roman" w:cs="Times New Roman"/>
              <w:sz w:val="24"/>
              <w:szCs w:val="24"/>
            </w:rPr>
            <w:t xml:space="preserve">IRC with the sole exclusive </w:t>
          </w:r>
          <w:r w:rsidRPr="00BA7C56">
            <w:rPr>
              <w:rFonts w:ascii="Times New Roman" w:hAnsi="Times New Roman" w:cs="Times New Roman"/>
              <w:sz w:val="24"/>
              <w:szCs w:val="24"/>
            </w:rPr>
            <w:t xml:space="preserve">authority to regulate all </w:t>
          </w:r>
          <w:r>
            <w:rPr>
              <w:rFonts w:ascii="Times New Roman" w:hAnsi="Times New Roman" w:cs="Times New Roman"/>
              <w:sz w:val="24"/>
              <w:szCs w:val="24"/>
            </w:rPr>
            <w:t xml:space="preserve">electricity entities that are subject to this Act and gives the IRC full powers to regulate all licencees with regard to all </w:t>
          </w:r>
          <w:r w:rsidRPr="00BA7C56">
            <w:rPr>
              <w:rFonts w:ascii="Times New Roman" w:hAnsi="Times New Roman" w:cs="Times New Roman"/>
              <w:sz w:val="24"/>
              <w:szCs w:val="24"/>
            </w:rPr>
            <w:t>economic and technical aspect</w:t>
          </w:r>
          <w:r>
            <w:rPr>
              <w:rFonts w:ascii="Times New Roman" w:hAnsi="Times New Roman" w:cs="Times New Roman"/>
              <w:sz w:val="24"/>
              <w:szCs w:val="24"/>
            </w:rPr>
            <w:t>s</w:t>
          </w:r>
          <w:r w:rsidRPr="00BA7C56">
            <w:rPr>
              <w:rFonts w:ascii="Times New Roman" w:hAnsi="Times New Roman" w:cs="Times New Roman"/>
              <w:sz w:val="24"/>
              <w:szCs w:val="24"/>
            </w:rPr>
            <w:t xml:space="preserve"> of regulation</w:t>
          </w:r>
          <w:r>
            <w:rPr>
              <w:rFonts w:ascii="Times New Roman" w:hAnsi="Times New Roman" w:cs="Times New Roman"/>
              <w:sz w:val="24"/>
              <w:szCs w:val="24"/>
            </w:rPr>
            <w:t>.</w:t>
          </w:r>
          <w:r w:rsidRPr="00BA7C56">
            <w:rPr>
              <w:rFonts w:ascii="Times New Roman" w:hAnsi="Times New Roman" w:cs="Times New Roman"/>
              <w:sz w:val="24"/>
              <w:szCs w:val="24"/>
            </w:rPr>
            <w:t xml:space="preserve"> </w:t>
          </w:r>
          <w:r>
            <w:rPr>
              <w:rFonts w:ascii="Times New Roman" w:hAnsi="Times New Roman" w:cs="Times New Roman"/>
              <w:sz w:val="24"/>
              <w:szCs w:val="24"/>
            </w:rPr>
            <w:t>Section 21 (m) gives the IRC the power to monitor the performance of licencees against mutually agreed targets and benchmarking standards. The production of this performance report is, therefore, in keeping with our mandate.</w:t>
          </w:r>
        </w:p>
        <w:p w:rsidR="00D70876" w:rsidRPr="00B36C56" w:rsidRDefault="00D70876" w:rsidP="004138AE">
          <w:pPr>
            <w:pStyle w:val="NoSpacing"/>
            <w:jc w:val="both"/>
            <w:rPr>
              <w:rFonts w:ascii="Times New Roman" w:hAnsi="Times New Roman" w:cs="Times New Roman"/>
              <w:sz w:val="24"/>
              <w:szCs w:val="24"/>
            </w:rPr>
          </w:pPr>
        </w:p>
        <w:p w:rsidR="000F1BE2" w:rsidRDefault="000F1BE2" w:rsidP="004138AE">
          <w:pPr>
            <w:pStyle w:val="ListParagraph"/>
            <w:ind w:left="360" w:hanging="360"/>
            <w:outlineLvl w:val="0"/>
            <w:rPr>
              <w:rFonts w:ascii="Times New Roman" w:hAnsi="Times New Roman" w:cs="Times New Roman"/>
              <w:b/>
              <w:sz w:val="24"/>
              <w:szCs w:val="24"/>
            </w:rPr>
          </w:pPr>
        </w:p>
        <w:p w:rsidR="00A95F38" w:rsidRPr="00215C1B" w:rsidRDefault="0029344C" w:rsidP="004138AE">
          <w:pPr>
            <w:pStyle w:val="ListParagraph"/>
            <w:ind w:left="360" w:hanging="360"/>
            <w:outlineLvl w:val="0"/>
            <w:rPr>
              <w:rFonts w:ascii="Times New Roman" w:hAnsi="Times New Roman" w:cs="Times New Roman"/>
              <w:b/>
              <w:sz w:val="24"/>
              <w:szCs w:val="24"/>
            </w:rPr>
          </w:pPr>
          <w:bookmarkStart w:id="4" w:name="_Toc485128731"/>
          <w:r w:rsidRPr="00215C1B">
            <w:rPr>
              <w:rFonts w:ascii="Times New Roman" w:hAnsi="Times New Roman" w:cs="Times New Roman"/>
              <w:b/>
              <w:sz w:val="24"/>
              <w:szCs w:val="24"/>
            </w:rPr>
            <w:t>1.1 BACKGROUND</w:t>
          </w:r>
          <w:bookmarkEnd w:id="4"/>
        </w:p>
        <w:p w:rsidR="00A95F38" w:rsidRPr="00215C1B" w:rsidRDefault="00A95F38" w:rsidP="004138AE">
          <w:pPr>
            <w:rPr>
              <w:rFonts w:ascii="Times New Roman" w:hAnsi="Times New Roman" w:cs="Times New Roman"/>
              <w:sz w:val="24"/>
              <w:szCs w:val="24"/>
              <w:u w:val="single"/>
            </w:rPr>
          </w:pPr>
        </w:p>
        <w:p w:rsidR="00D70876" w:rsidRPr="0063340F" w:rsidRDefault="00D70876"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63340F">
            <w:rPr>
              <w:rFonts w:ascii="Times New Roman" w:hAnsi="Times New Roman" w:cs="Times New Roman"/>
              <w:sz w:val="24"/>
              <w:szCs w:val="24"/>
            </w:rPr>
            <w:t>Dominica Electricity Services Limited (DOMLEC) commenced operation in 1949</w:t>
          </w:r>
          <w:r w:rsidR="00132764">
            <w:rPr>
              <w:rStyle w:val="FootnoteReference"/>
              <w:rFonts w:ascii="Times New Roman" w:hAnsi="Times New Roman" w:cs="Times New Roman"/>
              <w:sz w:val="24"/>
              <w:szCs w:val="24"/>
            </w:rPr>
            <w:footnoteReference w:id="2"/>
          </w:r>
          <w:r w:rsidRPr="0063340F">
            <w:rPr>
              <w:rFonts w:ascii="Times New Roman" w:hAnsi="Times New Roman" w:cs="Times New Roman"/>
              <w:sz w:val="24"/>
              <w:szCs w:val="24"/>
            </w:rPr>
            <w:t xml:space="preserve"> </w:t>
          </w:r>
          <w:r>
            <w:rPr>
              <w:rFonts w:ascii="Times New Roman" w:hAnsi="Times New Roman" w:cs="Times New Roman"/>
              <w:sz w:val="24"/>
              <w:szCs w:val="24"/>
            </w:rPr>
            <w:t>as</w:t>
          </w:r>
          <w:r w:rsidRPr="0063340F">
            <w:rPr>
              <w:rFonts w:ascii="Times New Roman" w:hAnsi="Times New Roman" w:cs="Times New Roman"/>
              <w:sz w:val="24"/>
              <w:szCs w:val="24"/>
            </w:rPr>
            <w:t xml:space="preserve"> the </w:t>
          </w:r>
        </w:p>
        <w:p w:rsidR="00D70876" w:rsidRDefault="00D70876" w:rsidP="004138AE">
          <w:pPr>
            <w:pStyle w:val="NoSpacing"/>
            <w:jc w:val="both"/>
            <w:rPr>
              <w:rFonts w:ascii="Times New Roman" w:hAnsi="Times New Roman" w:cs="Times New Roman"/>
              <w:sz w:val="24"/>
              <w:szCs w:val="24"/>
            </w:rPr>
          </w:pPr>
          <w:r w:rsidRPr="0063340F">
            <w:rPr>
              <w:rFonts w:ascii="Times New Roman" w:hAnsi="Times New Roman" w:cs="Times New Roman"/>
              <w:sz w:val="24"/>
              <w:szCs w:val="24"/>
            </w:rPr>
            <w:t>Colonial Development Corporation,</w:t>
          </w:r>
          <w:r>
            <w:rPr>
              <w:rFonts w:ascii="Times New Roman" w:hAnsi="Times New Roman" w:cs="Times New Roman"/>
              <w:sz w:val="24"/>
              <w:szCs w:val="24"/>
            </w:rPr>
            <w:t xml:space="preserve"> </w:t>
          </w:r>
          <w:r w:rsidRPr="0063340F">
            <w:rPr>
              <w:rFonts w:ascii="Times New Roman" w:hAnsi="Times New Roman" w:cs="Times New Roman"/>
              <w:sz w:val="24"/>
              <w:szCs w:val="24"/>
            </w:rPr>
            <w:t xml:space="preserve">which later became the Commonwealth Development Corporation. </w:t>
          </w:r>
          <w:r>
            <w:rPr>
              <w:rFonts w:ascii="Times New Roman" w:hAnsi="Times New Roman" w:cs="Times New Roman"/>
              <w:sz w:val="24"/>
              <w:szCs w:val="24"/>
            </w:rPr>
            <w:t>T</w:t>
          </w:r>
          <w:r w:rsidRPr="0063340F">
            <w:rPr>
              <w:rFonts w:ascii="Times New Roman" w:hAnsi="Times New Roman" w:cs="Times New Roman"/>
              <w:sz w:val="24"/>
              <w:szCs w:val="24"/>
            </w:rPr>
            <w:t>he</w:t>
          </w:r>
          <w:r>
            <w:rPr>
              <w:rFonts w:ascii="Times New Roman" w:hAnsi="Times New Roman" w:cs="Times New Roman"/>
              <w:sz w:val="24"/>
              <w:szCs w:val="24"/>
            </w:rPr>
            <w:t xml:space="preserve"> G</w:t>
          </w:r>
          <w:r w:rsidRPr="0063340F">
            <w:rPr>
              <w:rFonts w:ascii="Times New Roman" w:hAnsi="Times New Roman" w:cs="Times New Roman"/>
              <w:sz w:val="24"/>
              <w:szCs w:val="24"/>
            </w:rPr>
            <w:t>o</w:t>
          </w:r>
          <w:r>
            <w:rPr>
              <w:rFonts w:ascii="Times New Roman" w:hAnsi="Times New Roman" w:cs="Times New Roman"/>
              <w:sz w:val="24"/>
              <w:szCs w:val="24"/>
            </w:rPr>
            <w:t xml:space="preserve">vernment of </w:t>
          </w:r>
          <w:r w:rsidRPr="0063340F">
            <w:rPr>
              <w:rFonts w:ascii="Times New Roman" w:hAnsi="Times New Roman" w:cs="Times New Roman"/>
              <w:sz w:val="24"/>
              <w:szCs w:val="24"/>
            </w:rPr>
            <w:t xml:space="preserve">Dominica purchased </w:t>
          </w:r>
          <w:r>
            <w:rPr>
              <w:rFonts w:ascii="Times New Roman" w:hAnsi="Times New Roman" w:cs="Times New Roman"/>
              <w:sz w:val="24"/>
              <w:szCs w:val="24"/>
            </w:rPr>
            <w:t xml:space="preserve">forty-nine percent </w:t>
          </w:r>
          <w:r w:rsidRPr="0063340F">
            <w:rPr>
              <w:rFonts w:ascii="Times New Roman" w:hAnsi="Times New Roman" w:cs="Times New Roman"/>
              <w:sz w:val="24"/>
              <w:szCs w:val="24"/>
            </w:rPr>
            <w:t>of the company’s shares</w:t>
          </w:r>
          <w:r>
            <w:rPr>
              <w:rFonts w:ascii="Times New Roman" w:hAnsi="Times New Roman" w:cs="Times New Roman"/>
              <w:sz w:val="24"/>
              <w:szCs w:val="24"/>
            </w:rPr>
            <w:t xml:space="preserve"> in 1976 and acquired</w:t>
          </w:r>
          <w:r w:rsidRPr="0063340F">
            <w:rPr>
              <w:rFonts w:ascii="Times New Roman" w:hAnsi="Times New Roman" w:cs="Times New Roman"/>
              <w:sz w:val="24"/>
              <w:szCs w:val="24"/>
            </w:rPr>
            <w:t xml:space="preserve"> the remaining shares</w:t>
          </w:r>
          <w:r>
            <w:rPr>
              <w:rFonts w:ascii="Times New Roman" w:hAnsi="Times New Roman" w:cs="Times New Roman"/>
              <w:sz w:val="24"/>
              <w:szCs w:val="24"/>
            </w:rPr>
            <w:t xml:space="preserve"> in 1983.</w:t>
          </w:r>
          <w:r w:rsidRPr="0063340F">
            <w:rPr>
              <w:rFonts w:ascii="Times New Roman" w:hAnsi="Times New Roman" w:cs="Times New Roman"/>
              <w:sz w:val="24"/>
              <w:szCs w:val="24"/>
            </w:rPr>
            <w:t xml:space="preserve"> </w:t>
          </w:r>
          <w:r>
            <w:rPr>
              <w:rFonts w:ascii="Times New Roman" w:hAnsi="Times New Roman" w:cs="Times New Roman"/>
              <w:sz w:val="24"/>
              <w:szCs w:val="24"/>
            </w:rPr>
            <w:t xml:space="preserve"> The</w:t>
          </w:r>
          <w:r w:rsidRPr="0063340F">
            <w:rPr>
              <w:rFonts w:ascii="Times New Roman" w:hAnsi="Times New Roman" w:cs="Times New Roman"/>
              <w:sz w:val="24"/>
              <w:szCs w:val="24"/>
            </w:rPr>
            <w:t xml:space="preserve"> Government reduced</w:t>
          </w:r>
          <w:r>
            <w:rPr>
              <w:rFonts w:ascii="Times New Roman" w:hAnsi="Times New Roman" w:cs="Times New Roman"/>
              <w:sz w:val="24"/>
              <w:szCs w:val="24"/>
            </w:rPr>
            <w:t xml:space="preserve"> its ownership interest in the c</w:t>
          </w:r>
          <w:r w:rsidRPr="0063340F">
            <w:rPr>
              <w:rFonts w:ascii="Times New Roman" w:hAnsi="Times New Roman" w:cs="Times New Roman"/>
              <w:sz w:val="24"/>
              <w:szCs w:val="24"/>
            </w:rPr>
            <w:t xml:space="preserve">ompany </w:t>
          </w:r>
          <w:r>
            <w:rPr>
              <w:rFonts w:ascii="Times New Roman" w:hAnsi="Times New Roman" w:cs="Times New Roman"/>
              <w:sz w:val="24"/>
              <w:szCs w:val="24"/>
            </w:rPr>
            <w:t xml:space="preserve">in 1987 </w:t>
          </w:r>
          <w:r w:rsidRPr="0063340F">
            <w:rPr>
              <w:rFonts w:ascii="Times New Roman" w:hAnsi="Times New Roman" w:cs="Times New Roman"/>
              <w:sz w:val="24"/>
              <w:szCs w:val="24"/>
            </w:rPr>
            <w:t xml:space="preserve">by offering 60% of the shares to </w:t>
          </w:r>
          <w:r>
            <w:rPr>
              <w:rFonts w:ascii="Times New Roman" w:hAnsi="Times New Roman" w:cs="Times New Roman"/>
              <w:sz w:val="24"/>
              <w:szCs w:val="24"/>
            </w:rPr>
            <w:t xml:space="preserve">the general public and the company’s </w:t>
          </w:r>
          <w:r w:rsidRPr="0063340F">
            <w:rPr>
              <w:rFonts w:ascii="Times New Roman" w:hAnsi="Times New Roman" w:cs="Times New Roman"/>
              <w:sz w:val="24"/>
              <w:szCs w:val="24"/>
            </w:rPr>
            <w:t xml:space="preserve">employees.  </w:t>
          </w:r>
          <w:r>
            <w:rPr>
              <w:rFonts w:ascii="Times New Roman" w:hAnsi="Times New Roman" w:cs="Times New Roman"/>
              <w:sz w:val="24"/>
              <w:szCs w:val="24"/>
            </w:rPr>
            <w:t>In 1993, the Government</w:t>
          </w:r>
          <w:r w:rsidR="00A82637">
            <w:rPr>
              <w:rFonts w:ascii="Times New Roman" w:hAnsi="Times New Roman" w:cs="Times New Roman"/>
              <w:sz w:val="24"/>
              <w:szCs w:val="24"/>
            </w:rPr>
            <w:t>’s</w:t>
          </w:r>
          <w:r>
            <w:rPr>
              <w:rFonts w:ascii="Times New Roman" w:hAnsi="Times New Roman" w:cs="Times New Roman"/>
              <w:sz w:val="24"/>
              <w:szCs w:val="24"/>
            </w:rPr>
            <w:t xml:space="preserve"> shareholdings increased to 72.9% after the company </w:t>
          </w:r>
          <w:r w:rsidRPr="0063340F">
            <w:rPr>
              <w:rFonts w:ascii="Times New Roman" w:hAnsi="Times New Roman" w:cs="Times New Roman"/>
              <w:sz w:val="24"/>
              <w:szCs w:val="24"/>
            </w:rPr>
            <w:t>offered a 'rights issue'</w:t>
          </w:r>
          <w:r w:rsidR="00A82637">
            <w:rPr>
              <w:rFonts w:ascii="Times New Roman" w:hAnsi="Times New Roman" w:cs="Times New Roman"/>
              <w:sz w:val="24"/>
              <w:szCs w:val="24"/>
            </w:rPr>
            <w:t>,</w:t>
          </w:r>
          <w:r w:rsidRPr="0063340F">
            <w:rPr>
              <w:rFonts w:ascii="Times New Roman" w:hAnsi="Times New Roman" w:cs="Times New Roman"/>
              <w:sz w:val="24"/>
              <w:szCs w:val="24"/>
            </w:rPr>
            <w:t xml:space="preserve"> of two shares for every one</w:t>
          </w:r>
          <w:r>
            <w:rPr>
              <w:rFonts w:ascii="Times New Roman" w:hAnsi="Times New Roman" w:cs="Times New Roman"/>
              <w:sz w:val="24"/>
              <w:szCs w:val="24"/>
            </w:rPr>
            <w:t xml:space="preserve"> owned</w:t>
          </w:r>
          <w:r w:rsidR="00A82637">
            <w:rPr>
              <w:rFonts w:ascii="Times New Roman" w:hAnsi="Times New Roman" w:cs="Times New Roman"/>
              <w:sz w:val="24"/>
              <w:szCs w:val="24"/>
            </w:rPr>
            <w:t>,</w:t>
          </w:r>
          <w:r w:rsidR="00A82637" w:rsidRPr="00A82637">
            <w:rPr>
              <w:rFonts w:ascii="Times New Roman" w:hAnsi="Times New Roman" w:cs="Times New Roman"/>
              <w:sz w:val="24"/>
              <w:szCs w:val="24"/>
            </w:rPr>
            <w:t xml:space="preserve"> </w:t>
          </w:r>
          <w:r w:rsidR="00A82637" w:rsidRPr="0063340F">
            <w:rPr>
              <w:rFonts w:ascii="Times New Roman" w:hAnsi="Times New Roman" w:cs="Times New Roman"/>
              <w:sz w:val="24"/>
              <w:szCs w:val="24"/>
            </w:rPr>
            <w:t>to shareholders</w:t>
          </w:r>
          <w:r>
            <w:rPr>
              <w:rFonts w:ascii="Times New Roman" w:hAnsi="Times New Roman" w:cs="Times New Roman"/>
              <w:sz w:val="24"/>
              <w:szCs w:val="24"/>
            </w:rPr>
            <w:t>.</w:t>
          </w:r>
        </w:p>
        <w:p w:rsidR="00D70876" w:rsidRDefault="00D70876" w:rsidP="004138AE">
          <w:pPr>
            <w:pStyle w:val="NoSpacing"/>
            <w:jc w:val="both"/>
            <w:rPr>
              <w:rFonts w:ascii="Times New Roman" w:hAnsi="Times New Roman" w:cs="Times New Roman"/>
              <w:sz w:val="24"/>
              <w:szCs w:val="24"/>
            </w:rPr>
          </w:pPr>
        </w:p>
        <w:p w:rsidR="00D70876" w:rsidRDefault="00D70876" w:rsidP="004138AE">
          <w:pPr>
            <w:pStyle w:val="NoSpacing"/>
            <w:jc w:val="both"/>
            <w:rPr>
              <w:rFonts w:ascii="Times New Roman" w:hAnsi="Times New Roman" w:cs="Times New Roman"/>
              <w:sz w:val="24"/>
              <w:szCs w:val="24"/>
            </w:rPr>
          </w:pPr>
          <w:r>
            <w:rPr>
              <w:rFonts w:ascii="Times New Roman" w:hAnsi="Times New Roman" w:cs="Times New Roman"/>
              <w:sz w:val="24"/>
              <w:szCs w:val="24"/>
            </w:rPr>
            <w:t>In 1997, t</w:t>
          </w:r>
          <w:r w:rsidRPr="0063340F">
            <w:rPr>
              <w:rFonts w:ascii="Times New Roman" w:hAnsi="Times New Roman" w:cs="Times New Roman"/>
              <w:sz w:val="24"/>
              <w:szCs w:val="24"/>
            </w:rPr>
            <w:t xml:space="preserve">he Commonwealth Development Corporation (CDC) </w:t>
          </w:r>
          <w:r>
            <w:rPr>
              <w:rFonts w:ascii="Times New Roman" w:hAnsi="Times New Roman" w:cs="Times New Roman"/>
              <w:sz w:val="24"/>
              <w:szCs w:val="24"/>
            </w:rPr>
            <w:t xml:space="preserve">purchased the Government’s </w:t>
          </w:r>
          <w:r w:rsidRPr="0063340F">
            <w:rPr>
              <w:rFonts w:ascii="Times New Roman" w:hAnsi="Times New Roman" w:cs="Times New Roman"/>
              <w:sz w:val="24"/>
              <w:szCs w:val="24"/>
            </w:rPr>
            <w:t xml:space="preserve">shares </w:t>
          </w:r>
          <w:r>
            <w:rPr>
              <w:rFonts w:ascii="Times New Roman" w:hAnsi="Times New Roman" w:cs="Times New Roman"/>
              <w:sz w:val="24"/>
              <w:szCs w:val="24"/>
            </w:rPr>
            <w:t xml:space="preserve">in DOMLEC and became the major </w:t>
          </w:r>
          <w:r w:rsidRPr="0063340F">
            <w:rPr>
              <w:rFonts w:ascii="Times New Roman" w:hAnsi="Times New Roman" w:cs="Times New Roman"/>
              <w:sz w:val="24"/>
              <w:szCs w:val="24"/>
            </w:rPr>
            <w:t>shareholder. In May 2004</w:t>
          </w:r>
          <w:r>
            <w:rPr>
              <w:rFonts w:ascii="Times New Roman" w:hAnsi="Times New Roman" w:cs="Times New Roman"/>
              <w:sz w:val="24"/>
              <w:szCs w:val="24"/>
            </w:rPr>
            <w:t>,</w:t>
          </w:r>
          <w:r w:rsidRPr="0063340F">
            <w:rPr>
              <w:rFonts w:ascii="Times New Roman" w:hAnsi="Times New Roman" w:cs="Times New Roman"/>
              <w:sz w:val="24"/>
              <w:szCs w:val="24"/>
            </w:rPr>
            <w:t xml:space="preserve"> WRB Enterprises and Dominica Social Security</w:t>
          </w:r>
          <w:r>
            <w:rPr>
              <w:rFonts w:ascii="Times New Roman" w:hAnsi="Times New Roman" w:cs="Times New Roman"/>
              <w:sz w:val="24"/>
              <w:szCs w:val="24"/>
            </w:rPr>
            <w:t>, in a joint effort bought</w:t>
          </w:r>
          <w:r w:rsidRPr="0063340F">
            <w:rPr>
              <w:rFonts w:ascii="Times New Roman" w:hAnsi="Times New Roman" w:cs="Times New Roman"/>
              <w:sz w:val="24"/>
              <w:szCs w:val="24"/>
            </w:rPr>
            <w:t xml:space="preserve"> </w:t>
          </w:r>
          <w:r>
            <w:rPr>
              <w:rFonts w:ascii="Times New Roman" w:hAnsi="Times New Roman" w:cs="Times New Roman"/>
              <w:sz w:val="24"/>
              <w:szCs w:val="24"/>
            </w:rPr>
            <w:t xml:space="preserve">72.8% of </w:t>
          </w:r>
          <w:r w:rsidRPr="0063340F">
            <w:rPr>
              <w:rFonts w:ascii="Times New Roman" w:hAnsi="Times New Roman" w:cs="Times New Roman"/>
              <w:sz w:val="24"/>
              <w:szCs w:val="24"/>
            </w:rPr>
            <w:t>CDC’s shares in</w:t>
          </w:r>
          <w:r>
            <w:rPr>
              <w:rFonts w:ascii="Times New Roman" w:hAnsi="Times New Roman" w:cs="Times New Roman"/>
              <w:sz w:val="24"/>
              <w:szCs w:val="24"/>
            </w:rPr>
            <w:t xml:space="preserve"> DOMLEC.  </w:t>
          </w:r>
          <w:r w:rsidRPr="0063340F">
            <w:rPr>
              <w:rFonts w:ascii="Times New Roman" w:hAnsi="Times New Roman" w:cs="Times New Roman"/>
              <w:sz w:val="24"/>
              <w:szCs w:val="24"/>
            </w:rPr>
            <w:t>In April 2013, Light and Power Holding, a subsidiary of EMERA Corporation</w:t>
          </w:r>
          <w:r w:rsidR="00A82637">
            <w:rPr>
              <w:rFonts w:ascii="Times New Roman" w:hAnsi="Times New Roman" w:cs="Times New Roman"/>
              <w:sz w:val="24"/>
              <w:szCs w:val="24"/>
            </w:rPr>
            <w:t>,</w:t>
          </w:r>
          <w:r w:rsidRPr="0063340F">
            <w:rPr>
              <w:rFonts w:ascii="Times New Roman" w:hAnsi="Times New Roman" w:cs="Times New Roman"/>
              <w:sz w:val="24"/>
              <w:szCs w:val="24"/>
            </w:rPr>
            <w:t xml:space="preserve"> became the majority shareholde</w:t>
          </w:r>
          <w:r>
            <w:rPr>
              <w:rFonts w:ascii="Times New Roman" w:hAnsi="Times New Roman" w:cs="Times New Roman"/>
              <w:sz w:val="24"/>
              <w:szCs w:val="24"/>
            </w:rPr>
            <w:t>rs</w:t>
          </w:r>
          <w:r w:rsidRPr="0063340F">
            <w:rPr>
              <w:rFonts w:ascii="Times New Roman" w:hAnsi="Times New Roman" w:cs="Times New Roman"/>
              <w:sz w:val="24"/>
              <w:szCs w:val="24"/>
            </w:rPr>
            <w:t xml:space="preserve"> of the electric utility.  </w:t>
          </w:r>
          <w:r>
            <w:rPr>
              <w:rFonts w:ascii="Times New Roman" w:hAnsi="Times New Roman" w:cs="Times New Roman"/>
              <w:sz w:val="24"/>
              <w:szCs w:val="24"/>
            </w:rPr>
            <w:t xml:space="preserve"> In 2014, t</w:t>
          </w:r>
          <w:r w:rsidRPr="0063340F">
            <w:rPr>
              <w:rFonts w:ascii="Times New Roman" w:hAnsi="Times New Roman" w:cs="Times New Roman"/>
              <w:sz w:val="24"/>
              <w:szCs w:val="24"/>
            </w:rPr>
            <w:t>he company was granted a non exclusive generation license an</w:t>
          </w:r>
          <w:r>
            <w:rPr>
              <w:rFonts w:ascii="Times New Roman" w:hAnsi="Times New Roman" w:cs="Times New Roman"/>
              <w:sz w:val="24"/>
              <w:szCs w:val="24"/>
            </w:rPr>
            <w:t xml:space="preserve">d an exclusive transmission, </w:t>
          </w:r>
          <w:r w:rsidRPr="0063340F">
            <w:rPr>
              <w:rFonts w:ascii="Times New Roman" w:hAnsi="Times New Roman" w:cs="Times New Roman"/>
              <w:sz w:val="24"/>
              <w:szCs w:val="24"/>
            </w:rPr>
            <w:t>distrib</w:t>
          </w:r>
          <w:r>
            <w:rPr>
              <w:rFonts w:ascii="Times New Roman" w:hAnsi="Times New Roman" w:cs="Times New Roman"/>
              <w:sz w:val="24"/>
              <w:szCs w:val="24"/>
            </w:rPr>
            <w:t>ution and supply license from the Independent Regulatory Commission.</w:t>
          </w:r>
          <w:r w:rsidRPr="0063340F">
            <w:rPr>
              <w:rFonts w:ascii="Times New Roman" w:hAnsi="Times New Roman" w:cs="Times New Roman"/>
              <w:sz w:val="24"/>
              <w:szCs w:val="24"/>
            </w:rPr>
            <w:t xml:space="preserve">  </w:t>
          </w:r>
        </w:p>
        <w:p w:rsidR="00D70876" w:rsidRPr="0063340F" w:rsidRDefault="00D70876" w:rsidP="004138AE">
          <w:pPr>
            <w:pStyle w:val="NoSpacing"/>
            <w:jc w:val="both"/>
            <w:rPr>
              <w:rFonts w:ascii="Times New Roman" w:hAnsi="Times New Roman" w:cs="Times New Roman"/>
              <w:sz w:val="24"/>
              <w:szCs w:val="24"/>
            </w:rPr>
          </w:pPr>
        </w:p>
        <w:p w:rsidR="00D70876" w:rsidRPr="00215C1B" w:rsidRDefault="00D70876" w:rsidP="004138AE">
          <w:pPr>
            <w:rPr>
              <w:rFonts w:ascii="Times New Roman" w:hAnsi="Times New Roman" w:cs="Times New Roman"/>
              <w:sz w:val="24"/>
              <w:szCs w:val="24"/>
            </w:rPr>
          </w:pPr>
          <w:r>
            <w:rPr>
              <w:rFonts w:ascii="Times New Roman" w:hAnsi="Times New Roman" w:cs="Times New Roman"/>
              <w:sz w:val="24"/>
              <w:szCs w:val="24"/>
            </w:rPr>
            <w:t>Currently, the company</w:t>
          </w:r>
          <w:r w:rsidRPr="00215C1B">
            <w:rPr>
              <w:rFonts w:ascii="Times New Roman" w:hAnsi="Times New Roman" w:cs="Times New Roman"/>
              <w:sz w:val="24"/>
              <w:szCs w:val="24"/>
            </w:rPr>
            <w:t xml:space="preserve"> serves 98% of the population of the Commonw</w:t>
          </w:r>
          <w:r>
            <w:rPr>
              <w:rFonts w:ascii="Times New Roman" w:hAnsi="Times New Roman" w:cs="Times New Roman"/>
              <w:sz w:val="24"/>
              <w:szCs w:val="24"/>
            </w:rPr>
            <w:t xml:space="preserve">ealth of Dominica.  DOMLEC </w:t>
          </w:r>
          <w:r w:rsidRPr="00215C1B">
            <w:rPr>
              <w:rFonts w:ascii="Times New Roman" w:hAnsi="Times New Roman" w:cs="Times New Roman"/>
              <w:sz w:val="24"/>
              <w:szCs w:val="24"/>
            </w:rPr>
            <w:t>operates three run-of-river hydro plants located at Laudat, Trafalgar and Padu in the Roseau Valley wit</w:t>
          </w:r>
          <w:r>
            <w:rPr>
              <w:rFonts w:ascii="Times New Roman" w:hAnsi="Times New Roman" w:cs="Times New Roman"/>
              <w:sz w:val="24"/>
              <w:szCs w:val="24"/>
            </w:rPr>
            <w:t xml:space="preserve">h </w:t>
          </w:r>
          <w:r w:rsidRPr="00215C1B">
            <w:rPr>
              <w:rFonts w:ascii="Times New Roman" w:hAnsi="Times New Roman" w:cs="Times New Roman"/>
              <w:sz w:val="24"/>
              <w:szCs w:val="24"/>
            </w:rPr>
            <w:t xml:space="preserve">installed capacity of 1.24 MW, 3.52MW and 1.8MW respectively. </w:t>
          </w:r>
          <w:r>
            <w:rPr>
              <w:rFonts w:ascii="Times New Roman" w:hAnsi="Times New Roman" w:cs="Times New Roman"/>
              <w:sz w:val="24"/>
              <w:szCs w:val="24"/>
            </w:rPr>
            <w:t xml:space="preserve"> In addition, the company </w:t>
          </w:r>
          <w:r w:rsidRPr="00215C1B">
            <w:rPr>
              <w:rFonts w:ascii="Times New Roman" w:hAnsi="Times New Roman" w:cs="Times New Roman"/>
              <w:sz w:val="24"/>
              <w:szCs w:val="24"/>
            </w:rPr>
            <w:t>maintains two diesel stations at Fond Cole and Sugar Loaf with an installed capacity of 13.3M</w:t>
          </w:r>
          <w:r>
            <w:rPr>
              <w:rFonts w:ascii="Times New Roman" w:hAnsi="Times New Roman" w:cs="Times New Roman"/>
              <w:sz w:val="24"/>
              <w:szCs w:val="24"/>
            </w:rPr>
            <w:t>W and 6.8MW respectively. Total installed generation capacity and firm capacity as at December 2016 were 26,740 kWh and 18,060 kWh respectively. Total energy generation</w:t>
          </w:r>
          <w:r w:rsidRPr="00215C1B">
            <w:rPr>
              <w:rFonts w:ascii="Times New Roman" w:hAnsi="Times New Roman" w:cs="Times New Roman"/>
              <w:sz w:val="24"/>
              <w:szCs w:val="24"/>
            </w:rPr>
            <w:t xml:space="preserve"> amounted to 111,788,823 kWh in 2016, of which 36,366,747 kWh or 32.53% was generated by hydropower and 75,422,076 kWh or 67.47% by diesel generators.   As</w:t>
          </w:r>
          <w:r>
            <w:rPr>
              <w:rFonts w:ascii="Times New Roman" w:hAnsi="Times New Roman" w:cs="Times New Roman"/>
              <w:sz w:val="24"/>
              <w:szCs w:val="24"/>
            </w:rPr>
            <w:t xml:space="preserve"> at December 2016, DOMLEC’s</w:t>
          </w:r>
          <w:r w:rsidRPr="00215C1B">
            <w:rPr>
              <w:rFonts w:ascii="Times New Roman" w:hAnsi="Times New Roman" w:cs="Times New Roman"/>
              <w:sz w:val="24"/>
              <w:szCs w:val="24"/>
            </w:rPr>
            <w:t xml:space="preserve"> customer base stood at 36,467 customers.</w:t>
          </w:r>
          <w:r>
            <w:rPr>
              <w:rFonts w:ascii="Times New Roman" w:hAnsi="Times New Roman" w:cs="Times New Roman"/>
              <w:sz w:val="24"/>
              <w:szCs w:val="24"/>
            </w:rPr>
            <w:t xml:space="preserve"> </w:t>
          </w:r>
          <w:r w:rsidRPr="00215C1B">
            <w:rPr>
              <w:rFonts w:ascii="Times New Roman" w:hAnsi="Times New Roman" w:cs="Times New Roman"/>
              <w:sz w:val="24"/>
              <w:szCs w:val="24"/>
            </w:rPr>
            <w:t xml:space="preserve"> </w:t>
          </w:r>
        </w:p>
        <w:p w:rsidR="00A95F38" w:rsidRPr="00215C1B" w:rsidRDefault="00B5209D" w:rsidP="004138AE">
          <w:pPr>
            <w:rPr>
              <w:rFonts w:ascii="Times New Roman" w:hAnsi="Times New Roman" w:cs="Times New Roman"/>
              <w:sz w:val="24"/>
              <w:szCs w:val="24"/>
            </w:rPr>
          </w:pPr>
          <w:r w:rsidRPr="00215C1B">
            <w:rPr>
              <w:rFonts w:ascii="Times New Roman" w:hAnsi="Times New Roman" w:cs="Times New Roman"/>
              <w:sz w:val="24"/>
              <w:szCs w:val="24"/>
            </w:rPr>
            <w:lastRenderedPageBreak/>
            <w:t xml:space="preserve"> </w:t>
          </w:r>
        </w:p>
        <w:p w:rsidR="002E3D58" w:rsidRPr="00D055C7" w:rsidRDefault="00BA7C56" w:rsidP="004138AE">
          <w:pPr>
            <w:pStyle w:val="Heading1"/>
            <w:rPr>
              <w:rFonts w:ascii="Times New Roman" w:hAnsi="Times New Roman" w:cs="Times New Roman"/>
              <w:color w:val="000000" w:themeColor="text1"/>
              <w:sz w:val="24"/>
              <w:szCs w:val="24"/>
            </w:rPr>
          </w:pPr>
          <w:bookmarkStart w:id="5" w:name="_Toc485128732"/>
          <w:r w:rsidRPr="00D055C7">
            <w:rPr>
              <w:rFonts w:ascii="Times New Roman" w:hAnsi="Times New Roman" w:cs="Times New Roman"/>
              <w:color w:val="000000" w:themeColor="text1"/>
              <w:sz w:val="24"/>
              <w:szCs w:val="24"/>
            </w:rPr>
            <w:t>1.2</w:t>
          </w:r>
          <w:r w:rsidR="00F61C09" w:rsidRPr="00D055C7">
            <w:rPr>
              <w:rFonts w:ascii="Times New Roman" w:hAnsi="Times New Roman" w:cs="Times New Roman"/>
              <w:color w:val="000000" w:themeColor="text1"/>
              <w:sz w:val="24"/>
              <w:szCs w:val="24"/>
            </w:rPr>
            <w:t xml:space="preserve"> </w:t>
          </w:r>
          <w:r w:rsidR="00460980">
            <w:rPr>
              <w:rFonts w:ascii="Times New Roman" w:hAnsi="Times New Roman" w:cs="Times New Roman"/>
              <w:color w:val="000000" w:themeColor="text1"/>
              <w:sz w:val="24"/>
              <w:szCs w:val="24"/>
            </w:rPr>
            <w:t>PURPOSE</w:t>
          </w:r>
          <w:r w:rsidR="002E3D58" w:rsidRPr="00D055C7">
            <w:rPr>
              <w:rFonts w:ascii="Times New Roman" w:hAnsi="Times New Roman" w:cs="Times New Roman"/>
              <w:color w:val="000000" w:themeColor="text1"/>
              <w:sz w:val="24"/>
              <w:szCs w:val="24"/>
            </w:rPr>
            <w:t xml:space="preserve"> OF THE </w:t>
          </w:r>
          <w:r w:rsidR="00D9392A" w:rsidRPr="00D055C7">
            <w:rPr>
              <w:rFonts w:ascii="Times New Roman" w:hAnsi="Times New Roman" w:cs="Times New Roman"/>
              <w:color w:val="000000" w:themeColor="text1"/>
              <w:sz w:val="24"/>
              <w:szCs w:val="24"/>
            </w:rPr>
            <w:t>REPORT</w:t>
          </w:r>
          <w:bookmarkEnd w:id="5"/>
        </w:p>
        <w:p w:rsidR="002E3D58" w:rsidRPr="00215C1B" w:rsidRDefault="002E3D58" w:rsidP="004138AE">
          <w:pPr>
            <w:rPr>
              <w:rFonts w:ascii="Times New Roman" w:hAnsi="Times New Roman" w:cs="Times New Roman"/>
              <w:sz w:val="24"/>
              <w:szCs w:val="24"/>
            </w:rPr>
          </w:pPr>
        </w:p>
        <w:p w:rsidR="00D70876" w:rsidRPr="00D70876" w:rsidRDefault="00D70876" w:rsidP="004138AE">
          <w:pPr>
            <w:rPr>
              <w:rFonts w:ascii="Times New Roman" w:hAnsi="Times New Roman" w:cs="Times New Roman"/>
              <w:sz w:val="24"/>
              <w:szCs w:val="24"/>
            </w:rPr>
          </w:pPr>
          <w:r w:rsidRPr="00D70876">
            <w:rPr>
              <w:rFonts w:ascii="Times New Roman" w:hAnsi="Times New Roman" w:cs="Times New Roman"/>
              <w:sz w:val="24"/>
              <w:szCs w:val="24"/>
            </w:rPr>
            <w:t>This is the first annual performance report prepared by the IRC. By conducting an annual performance review the IRC will be able to assess whether DOMLEC is meeting its regulatory objectives of providing reliable service to customers in a cost effective manner.</w:t>
          </w:r>
        </w:p>
        <w:p w:rsidR="00D70876" w:rsidRPr="00D70876" w:rsidRDefault="00D70876" w:rsidP="004138AE">
          <w:pPr>
            <w:rPr>
              <w:rFonts w:ascii="Times New Roman" w:hAnsi="Times New Roman" w:cs="Times New Roman"/>
              <w:sz w:val="24"/>
              <w:szCs w:val="24"/>
            </w:rPr>
          </w:pPr>
        </w:p>
        <w:p w:rsidR="00D70876" w:rsidRPr="00D70876" w:rsidRDefault="00D70876" w:rsidP="004138AE">
          <w:pPr>
            <w:rPr>
              <w:rFonts w:ascii="Times New Roman" w:hAnsi="Times New Roman" w:cs="Times New Roman"/>
              <w:sz w:val="24"/>
              <w:szCs w:val="24"/>
            </w:rPr>
          </w:pPr>
          <w:r w:rsidRPr="00D70876">
            <w:rPr>
              <w:rFonts w:ascii="Times New Roman" w:hAnsi="Times New Roman" w:cs="Times New Roman"/>
              <w:sz w:val="24"/>
              <w:szCs w:val="24"/>
            </w:rPr>
            <w:t>Our objectives are to:</w:t>
          </w:r>
        </w:p>
        <w:p w:rsidR="00D70876" w:rsidRPr="00D70876" w:rsidRDefault="00D70876" w:rsidP="004138AE">
          <w:pPr>
            <w:rPr>
              <w:rFonts w:ascii="Times New Roman" w:hAnsi="Times New Roman" w:cs="Times New Roman"/>
              <w:sz w:val="24"/>
              <w:szCs w:val="24"/>
            </w:rPr>
          </w:pPr>
        </w:p>
        <w:p w:rsidR="00D70876" w:rsidRPr="00D70876" w:rsidRDefault="00D70876" w:rsidP="004138AE">
          <w:pPr>
            <w:ind w:left="360"/>
            <w:rPr>
              <w:rFonts w:ascii="Times New Roman" w:hAnsi="Times New Roman" w:cs="Times New Roman"/>
              <w:sz w:val="24"/>
              <w:szCs w:val="24"/>
            </w:rPr>
          </w:pPr>
          <w:r w:rsidRPr="00D70876">
            <w:rPr>
              <w:rFonts w:ascii="Times New Roman" w:hAnsi="Times New Roman" w:cs="Times New Roman"/>
              <w:sz w:val="24"/>
              <w:szCs w:val="24"/>
            </w:rPr>
            <w:t xml:space="preserve">Establish a base from which DOMLEC’s performance will be monitored overtime; </w:t>
          </w:r>
        </w:p>
        <w:p w:rsidR="00D70876" w:rsidRPr="00D70876" w:rsidRDefault="00D70876" w:rsidP="004138AE">
          <w:pPr>
            <w:ind w:left="360"/>
            <w:rPr>
              <w:rFonts w:ascii="Times New Roman" w:hAnsi="Times New Roman" w:cs="Times New Roman"/>
              <w:sz w:val="24"/>
              <w:szCs w:val="24"/>
            </w:rPr>
          </w:pPr>
        </w:p>
        <w:p w:rsidR="002E3D58" w:rsidRPr="00D70876" w:rsidRDefault="00D70876" w:rsidP="004138AE">
          <w:pPr>
            <w:ind w:left="360"/>
            <w:rPr>
              <w:rFonts w:ascii="Times New Roman" w:hAnsi="Times New Roman" w:cs="Times New Roman"/>
              <w:sz w:val="24"/>
              <w:szCs w:val="24"/>
            </w:rPr>
          </w:pPr>
          <w:r w:rsidRPr="00D70876">
            <w:rPr>
              <w:rFonts w:ascii="Times New Roman" w:hAnsi="Times New Roman" w:cs="Times New Roman"/>
              <w:color w:val="000000" w:themeColor="text1"/>
              <w:sz w:val="24"/>
              <w:szCs w:val="24"/>
            </w:rPr>
            <w:t>Calculate the performance indicators that target DOMLEC’s key functional areas and compare with previous periods, and benchmark against electric utilities in other jurisdictions</w:t>
          </w:r>
        </w:p>
        <w:p w:rsidR="00A95F38" w:rsidRPr="00D055C7" w:rsidRDefault="00984F30" w:rsidP="004138AE">
          <w:pPr>
            <w:pStyle w:val="Heading1"/>
            <w:rPr>
              <w:rFonts w:ascii="Times New Roman" w:hAnsi="Times New Roman" w:cs="Times New Roman"/>
              <w:color w:val="000000" w:themeColor="text1"/>
              <w:sz w:val="24"/>
              <w:szCs w:val="24"/>
            </w:rPr>
          </w:pPr>
          <w:bookmarkStart w:id="6" w:name="_Toc485128734"/>
          <w:r>
            <w:rPr>
              <w:rFonts w:ascii="Times New Roman" w:hAnsi="Times New Roman" w:cs="Times New Roman"/>
              <w:color w:val="000000" w:themeColor="text1"/>
              <w:sz w:val="24"/>
              <w:szCs w:val="24"/>
            </w:rPr>
            <w:t>1.3</w:t>
          </w:r>
          <w:r w:rsidR="002E3D58" w:rsidRPr="00D055C7">
            <w:rPr>
              <w:rFonts w:ascii="Times New Roman" w:hAnsi="Times New Roman" w:cs="Times New Roman"/>
              <w:color w:val="000000" w:themeColor="text1"/>
              <w:sz w:val="24"/>
              <w:szCs w:val="24"/>
            </w:rPr>
            <w:t xml:space="preserve"> </w:t>
          </w:r>
          <w:bookmarkEnd w:id="6"/>
          <w:r w:rsidR="00B16F76" w:rsidRPr="00D055C7">
            <w:rPr>
              <w:rFonts w:ascii="Times New Roman" w:hAnsi="Times New Roman" w:cs="Times New Roman"/>
              <w:color w:val="000000" w:themeColor="text1"/>
              <w:sz w:val="24"/>
              <w:szCs w:val="24"/>
            </w:rPr>
            <w:t>INFORMATION AND DATA</w:t>
          </w:r>
        </w:p>
        <w:p w:rsidR="00984F30" w:rsidRPr="00D055C7" w:rsidRDefault="00984F30" w:rsidP="004138AE">
          <w:pPr>
            <w:pStyle w:val="Heading1"/>
            <w:rPr>
              <w:rFonts w:ascii="Times New Roman" w:hAnsi="Times New Roman" w:cs="Times New Roman"/>
              <w:color w:val="000000" w:themeColor="text1"/>
              <w:sz w:val="24"/>
              <w:szCs w:val="24"/>
            </w:rPr>
          </w:pPr>
          <w:r>
            <w:rPr>
              <w:rFonts w:ascii="Times New Roman" w:hAnsi="Times New Roman" w:cs="Times New Roman"/>
              <w:b w:val="0"/>
              <w:color w:val="0D0D0D" w:themeColor="text1" w:themeTint="F2"/>
              <w:sz w:val="24"/>
              <w:szCs w:val="24"/>
            </w:rPr>
            <w:t>T</w:t>
          </w:r>
          <w:r w:rsidRPr="001E74F3">
            <w:rPr>
              <w:rFonts w:ascii="Times New Roman" w:hAnsi="Times New Roman" w:cs="Times New Roman"/>
              <w:b w:val="0"/>
              <w:color w:val="0D0D0D" w:themeColor="text1" w:themeTint="F2"/>
              <w:sz w:val="24"/>
              <w:szCs w:val="24"/>
            </w:rPr>
            <w:t xml:space="preserve">he information </w:t>
          </w:r>
          <w:r>
            <w:rPr>
              <w:rFonts w:ascii="Times New Roman" w:hAnsi="Times New Roman" w:cs="Times New Roman"/>
              <w:b w:val="0"/>
              <w:color w:val="0D0D0D" w:themeColor="text1" w:themeTint="F2"/>
              <w:sz w:val="24"/>
              <w:szCs w:val="24"/>
            </w:rPr>
            <w:t xml:space="preserve">and data utilized in this document have been retrieved from </w:t>
          </w:r>
          <w:r w:rsidRPr="001E74F3">
            <w:rPr>
              <w:rFonts w:ascii="Times New Roman" w:hAnsi="Times New Roman" w:cs="Times New Roman"/>
              <w:b w:val="0"/>
              <w:color w:val="0D0D0D" w:themeColor="text1" w:themeTint="F2"/>
              <w:sz w:val="24"/>
              <w:szCs w:val="24"/>
            </w:rPr>
            <w:t xml:space="preserve">the </w:t>
          </w:r>
          <w:r>
            <w:rPr>
              <w:rFonts w:ascii="Times New Roman" w:hAnsi="Times New Roman" w:cs="Times New Roman"/>
              <w:b w:val="0"/>
              <w:color w:val="0D0D0D" w:themeColor="text1" w:themeTint="F2"/>
              <w:sz w:val="24"/>
              <w:szCs w:val="24"/>
            </w:rPr>
            <w:t>Annual Reports of DOMLEC for the years 2012 to 2016. The EEI’s Report on US Investor Owed Electric Utilities (USIEU) 2014, reports submitted to the IRC by DOMLEC, in accordance with stipulations contained in its licen</w:t>
          </w:r>
          <w:r w:rsidR="00B40EDC">
            <w:rPr>
              <w:rFonts w:ascii="Times New Roman" w:hAnsi="Times New Roman" w:cs="Times New Roman"/>
              <w:b w:val="0"/>
              <w:color w:val="0D0D0D" w:themeColor="text1" w:themeTint="F2"/>
              <w:sz w:val="24"/>
              <w:szCs w:val="24"/>
            </w:rPr>
            <w:t>ce</w:t>
          </w:r>
          <w:r w:rsidR="00813928">
            <w:rPr>
              <w:rStyle w:val="FootnoteReference"/>
              <w:rFonts w:ascii="Times New Roman" w:hAnsi="Times New Roman" w:cs="Times New Roman"/>
              <w:b w:val="0"/>
              <w:color w:val="0D0D0D" w:themeColor="text1" w:themeTint="F2"/>
              <w:sz w:val="24"/>
              <w:szCs w:val="24"/>
            </w:rPr>
            <w:footnoteReference w:id="3"/>
          </w:r>
          <w:r w:rsidR="00EF6A45">
            <w:rPr>
              <w:rFonts w:ascii="Times New Roman" w:hAnsi="Times New Roman" w:cs="Times New Roman"/>
              <w:b w:val="0"/>
              <w:color w:val="0D0D0D" w:themeColor="text1" w:themeTint="F2"/>
              <w:sz w:val="24"/>
              <w:szCs w:val="24"/>
            </w:rPr>
            <w:t>.</w:t>
          </w:r>
          <w:r w:rsidR="00B40EDC">
            <w:rPr>
              <w:rFonts w:ascii="Times New Roman" w:hAnsi="Times New Roman" w:cs="Times New Roman"/>
              <w:b w:val="0"/>
              <w:color w:val="0D0D0D" w:themeColor="text1" w:themeTint="F2"/>
              <w:sz w:val="24"/>
              <w:szCs w:val="24"/>
            </w:rPr>
            <w:t xml:space="preserve"> </w:t>
          </w:r>
          <w:r>
            <w:rPr>
              <w:rFonts w:ascii="Times New Roman" w:hAnsi="Times New Roman" w:cs="Times New Roman"/>
              <w:b w:val="0"/>
              <w:color w:val="0D0D0D" w:themeColor="text1" w:themeTint="F2"/>
              <w:sz w:val="24"/>
              <w:szCs w:val="24"/>
            </w:rPr>
            <w:t xml:space="preserve">CARILEC’s Benchmarking Studies of Caribbean Utilities for </w:t>
          </w:r>
          <w:r w:rsidR="000D4EF7">
            <w:rPr>
              <w:rFonts w:ascii="Times New Roman" w:hAnsi="Times New Roman" w:cs="Times New Roman"/>
              <w:b w:val="0"/>
              <w:color w:val="0D0D0D" w:themeColor="text1" w:themeTint="F2"/>
              <w:sz w:val="24"/>
              <w:szCs w:val="24"/>
            </w:rPr>
            <w:t>2013</w:t>
          </w:r>
          <w:r>
            <w:rPr>
              <w:rFonts w:ascii="Times New Roman" w:hAnsi="Times New Roman" w:cs="Times New Roman"/>
              <w:b w:val="0"/>
              <w:color w:val="0D0D0D" w:themeColor="text1" w:themeTint="F2"/>
              <w:sz w:val="24"/>
              <w:szCs w:val="24"/>
            </w:rPr>
            <w:t xml:space="preserve"> and Annual Reports for GRENLEC and LUCELEC for the years 2012 to 2015.</w:t>
          </w:r>
          <w:r w:rsidRPr="001E74F3">
            <w:rPr>
              <w:rFonts w:ascii="Times New Roman" w:hAnsi="Times New Roman" w:cs="Times New Roman"/>
              <w:b w:val="0"/>
              <w:color w:val="0D0D0D" w:themeColor="text1" w:themeTint="F2"/>
              <w:sz w:val="24"/>
              <w:szCs w:val="24"/>
            </w:rPr>
            <w:t xml:space="preserve"> </w:t>
          </w:r>
          <w:r>
            <w:rPr>
              <w:rFonts w:ascii="Times New Roman" w:hAnsi="Times New Roman" w:cs="Times New Roman"/>
              <w:b w:val="0"/>
              <w:color w:val="0D0D0D" w:themeColor="text1" w:themeTint="F2"/>
              <w:sz w:val="24"/>
              <w:szCs w:val="24"/>
            </w:rPr>
            <w:t>It should be noted that the analysis was constrained by the absence of data over some periods, and our inability to compare against all regional utilities.</w:t>
          </w:r>
        </w:p>
        <w:p w:rsidR="00984F30" w:rsidRDefault="00984F30" w:rsidP="004138AE"/>
        <w:p w:rsidR="00984F30" w:rsidRDefault="00984F30" w:rsidP="004138AE">
          <w:pPr>
            <w:pStyle w:val="NoSpacing"/>
            <w:jc w:val="both"/>
            <w:rPr>
              <w:rFonts w:ascii="Times New Roman" w:hAnsi="Times New Roman" w:cs="Times New Roman"/>
              <w:b/>
              <w:color w:val="000000" w:themeColor="text1"/>
              <w:sz w:val="24"/>
              <w:szCs w:val="24"/>
            </w:rPr>
          </w:pPr>
        </w:p>
        <w:p w:rsidR="00486E02" w:rsidRPr="00D055C7" w:rsidRDefault="00984F30" w:rsidP="004138AE">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r w:rsidR="00486E02" w:rsidRPr="00D055C7">
            <w:rPr>
              <w:rFonts w:ascii="Times New Roman" w:hAnsi="Times New Roman" w:cs="Times New Roman"/>
              <w:b/>
              <w:color w:val="000000" w:themeColor="text1"/>
              <w:sz w:val="24"/>
              <w:szCs w:val="24"/>
            </w:rPr>
            <w:t xml:space="preserve"> METHODOLOGY</w:t>
          </w:r>
        </w:p>
        <w:p w:rsidR="00F359FF" w:rsidRDefault="00F359FF" w:rsidP="004138AE">
          <w:pPr>
            <w:pStyle w:val="NoSpacing"/>
            <w:jc w:val="both"/>
            <w:rPr>
              <w:rFonts w:ascii="Times New Roman" w:hAnsi="Times New Roman" w:cs="Times New Roman"/>
              <w:color w:val="4F81BD" w:themeColor="accent1"/>
              <w:sz w:val="24"/>
              <w:szCs w:val="24"/>
            </w:rPr>
          </w:pPr>
        </w:p>
        <w:p w:rsidR="00460980" w:rsidRDefault="00984F30" w:rsidP="004138AE">
          <w:pPr>
            <w:rPr>
              <w:rFonts w:ascii="Times New Roman" w:hAnsi="Times New Roman" w:cs="Times New Roman"/>
              <w:sz w:val="24"/>
              <w:szCs w:val="24"/>
            </w:rPr>
          </w:pPr>
          <w:r>
            <w:rPr>
              <w:rFonts w:ascii="Times New Roman" w:hAnsi="Times New Roman" w:cs="Times New Roman"/>
              <w:sz w:val="24"/>
              <w:szCs w:val="24"/>
            </w:rPr>
            <w:t>The IRC utilized financial, economic, operational and technical data to calculate key performance indicators to assess the performance of DOMLEC</w:t>
          </w:r>
          <w:r w:rsidR="006E0E75">
            <w:rPr>
              <w:rFonts w:ascii="Times New Roman" w:hAnsi="Times New Roman" w:cs="Times New Roman"/>
              <w:sz w:val="24"/>
              <w:szCs w:val="24"/>
            </w:rPr>
            <w:t>, and to perform a comparative analysis against regional and other international utilities where possible</w:t>
          </w:r>
          <w:r>
            <w:rPr>
              <w:rFonts w:ascii="Times New Roman" w:hAnsi="Times New Roman" w:cs="Times New Roman"/>
              <w:sz w:val="24"/>
              <w:szCs w:val="24"/>
            </w:rPr>
            <w:t>. The</w:t>
          </w:r>
          <w:r w:rsidR="006E0E75">
            <w:rPr>
              <w:rFonts w:ascii="Times New Roman" w:hAnsi="Times New Roman" w:cs="Times New Roman"/>
              <w:sz w:val="24"/>
              <w:szCs w:val="24"/>
            </w:rPr>
            <w:t>se</w:t>
          </w:r>
          <w:r>
            <w:rPr>
              <w:rFonts w:ascii="Times New Roman" w:hAnsi="Times New Roman" w:cs="Times New Roman"/>
              <w:sz w:val="24"/>
              <w:szCs w:val="24"/>
            </w:rPr>
            <w:t xml:space="preserve"> indicators </w:t>
          </w:r>
          <w:r w:rsidR="006E0E75">
            <w:rPr>
              <w:rFonts w:ascii="Times New Roman" w:hAnsi="Times New Roman" w:cs="Times New Roman"/>
              <w:sz w:val="24"/>
              <w:szCs w:val="24"/>
            </w:rPr>
            <w:t>cover</w:t>
          </w:r>
          <w:r>
            <w:rPr>
              <w:rFonts w:ascii="Times New Roman" w:hAnsi="Times New Roman" w:cs="Times New Roman"/>
              <w:sz w:val="24"/>
              <w:szCs w:val="24"/>
            </w:rPr>
            <w:t xml:space="preserve"> the major functional areas of the company such as, generation, transmission and distribution and general operations. </w:t>
          </w:r>
        </w:p>
        <w:p w:rsidR="00460980" w:rsidRDefault="00460980" w:rsidP="004138AE">
          <w:pPr>
            <w:rPr>
              <w:rFonts w:ascii="Times New Roman" w:hAnsi="Times New Roman" w:cs="Times New Roman"/>
              <w:sz w:val="24"/>
              <w:szCs w:val="24"/>
            </w:rPr>
          </w:pPr>
        </w:p>
        <w:p w:rsidR="00984F30" w:rsidRDefault="00984F30" w:rsidP="004138AE">
          <w:pPr>
            <w:rPr>
              <w:rFonts w:ascii="Times New Roman" w:hAnsi="Times New Roman" w:cs="Times New Roman"/>
              <w:sz w:val="24"/>
              <w:szCs w:val="24"/>
            </w:rPr>
          </w:pPr>
          <w:r>
            <w:rPr>
              <w:rFonts w:ascii="Times New Roman" w:hAnsi="Times New Roman" w:cs="Times New Roman"/>
              <w:sz w:val="24"/>
              <w:szCs w:val="24"/>
            </w:rPr>
            <w:t>The financial indicators comprise profitability ratios, liquidity ratios, and debt to capital ratio. The operational indicators comprise the number of customer</w:t>
          </w:r>
          <w:r w:rsidR="00AA570E">
            <w:rPr>
              <w:rFonts w:ascii="Times New Roman" w:hAnsi="Times New Roman" w:cs="Times New Roman"/>
              <w:sz w:val="24"/>
              <w:szCs w:val="24"/>
            </w:rPr>
            <w:t>s</w:t>
          </w:r>
          <w:r>
            <w:rPr>
              <w:rFonts w:ascii="Times New Roman" w:hAnsi="Times New Roman" w:cs="Times New Roman"/>
              <w:sz w:val="24"/>
              <w:szCs w:val="24"/>
            </w:rPr>
            <w:t xml:space="preserve">, average tariff, operating cost per kWh, energy purchase and sales.  The economic indicators include; energy sales per employees, number of customers per employee and energy consumption per capita.  The technical indicators include; total installed capacity, distributed RE installed capacity, percentage of RE tied to the grid, system losses and system reliability indices. </w:t>
          </w:r>
        </w:p>
        <w:p w:rsidR="00984F30" w:rsidRDefault="00984F30" w:rsidP="004138AE">
          <w:pPr>
            <w:rPr>
              <w:rFonts w:ascii="Times New Roman" w:hAnsi="Times New Roman" w:cs="Times New Roman"/>
              <w:sz w:val="24"/>
              <w:szCs w:val="24"/>
            </w:rPr>
          </w:pPr>
        </w:p>
        <w:p w:rsidR="00B40EDC" w:rsidRDefault="00984F30" w:rsidP="004138AE">
          <w:pPr>
            <w:rPr>
              <w:rFonts w:ascii="Times New Roman" w:hAnsi="Times New Roman" w:cs="Times New Roman"/>
              <w:sz w:val="24"/>
              <w:szCs w:val="24"/>
            </w:rPr>
          </w:pPr>
          <w:r>
            <w:rPr>
              <w:rFonts w:ascii="Times New Roman" w:hAnsi="Times New Roman" w:cs="Times New Roman"/>
              <w:sz w:val="24"/>
              <w:szCs w:val="24"/>
            </w:rPr>
            <w:lastRenderedPageBreak/>
            <w:t>The KPIs are used to compare DOMLEC’s performance against itself, in the first instance, and then against other regional entities and those in other jurisdictions where data are available</w:t>
          </w:r>
          <w:r w:rsidR="0030690D">
            <w:rPr>
              <w:rFonts w:ascii="Times New Roman" w:hAnsi="Times New Roman" w:cs="Times New Roman"/>
              <w:sz w:val="24"/>
              <w:szCs w:val="24"/>
            </w:rPr>
            <w:t>.</w:t>
          </w:r>
        </w:p>
        <w:p w:rsidR="00984F30" w:rsidRPr="00215C1B" w:rsidRDefault="00984F30" w:rsidP="004138AE">
          <w:pPr>
            <w:rPr>
              <w:rFonts w:ascii="Times New Roman" w:hAnsi="Times New Roman" w:cs="Times New Roman"/>
              <w:sz w:val="24"/>
              <w:szCs w:val="24"/>
            </w:rPr>
          </w:pPr>
          <w:r>
            <w:rPr>
              <w:rFonts w:ascii="Times New Roman" w:hAnsi="Times New Roman" w:cs="Times New Roman"/>
              <w:sz w:val="24"/>
              <w:szCs w:val="24"/>
            </w:rPr>
            <w:t xml:space="preserve">The document is </w:t>
          </w:r>
          <w:r w:rsidRPr="00215C1B">
            <w:rPr>
              <w:rFonts w:ascii="Times New Roman" w:hAnsi="Times New Roman" w:cs="Times New Roman"/>
              <w:sz w:val="24"/>
              <w:szCs w:val="24"/>
            </w:rPr>
            <w:t>organized in</w:t>
          </w:r>
          <w:r w:rsidR="00460980">
            <w:rPr>
              <w:rFonts w:ascii="Times New Roman" w:hAnsi="Times New Roman" w:cs="Times New Roman"/>
              <w:sz w:val="24"/>
              <w:szCs w:val="24"/>
            </w:rPr>
            <w:t>to</w:t>
          </w:r>
          <w:r w:rsidRPr="00215C1B">
            <w:rPr>
              <w:rFonts w:ascii="Times New Roman" w:hAnsi="Times New Roman" w:cs="Times New Roman"/>
              <w:sz w:val="24"/>
              <w:szCs w:val="24"/>
            </w:rPr>
            <w:t xml:space="preserve"> two </w:t>
          </w:r>
          <w:r>
            <w:rPr>
              <w:rFonts w:ascii="Times New Roman" w:hAnsi="Times New Roman" w:cs="Times New Roman"/>
              <w:sz w:val="24"/>
              <w:szCs w:val="24"/>
            </w:rPr>
            <w:t>sections.</w:t>
          </w:r>
          <w:r w:rsidRPr="00215C1B">
            <w:rPr>
              <w:rFonts w:ascii="Times New Roman" w:hAnsi="Times New Roman" w:cs="Times New Roman"/>
              <w:sz w:val="24"/>
              <w:szCs w:val="24"/>
            </w:rPr>
            <w:t xml:space="preserve"> Section </w:t>
          </w:r>
          <w:r>
            <w:rPr>
              <w:rFonts w:ascii="Times New Roman" w:hAnsi="Times New Roman" w:cs="Times New Roman"/>
              <w:sz w:val="24"/>
              <w:szCs w:val="24"/>
            </w:rPr>
            <w:t>one contains</w:t>
          </w:r>
          <w:r w:rsidRPr="00215C1B">
            <w:rPr>
              <w:rFonts w:ascii="Times New Roman" w:hAnsi="Times New Roman" w:cs="Times New Roman"/>
              <w:sz w:val="24"/>
              <w:szCs w:val="24"/>
            </w:rPr>
            <w:t xml:space="preserve"> the </w:t>
          </w:r>
          <w:r>
            <w:rPr>
              <w:rFonts w:ascii="Times New Roman" w:hAnsi="Times New Roman" w:cs="Times New Roman"/>
              <w:sz w:val="24"/>
              <w:szCs w:val="24"/>
            </w:rPr>
            <w:t>f</w:t>
          </w:r>
          <w:r w:rsidRPr="00215C1B">
            <w:rPr>
              <w:rFonts w:ascii="Times New Roman" w:hAnsi="Times New Roman" w:cs="Times New Roman"/>
              <w:sz w:val="24"/>
              <w:szCs w:val="24"/>
            </w:rPr>
            <w:t xml:space="preserve">inancial and </w:t>
          </w:r>
          <w:r>
            <w:rPr>
              <w:rFonts w:ascii="Times New Roman" w:hAnsi="Times New Roman" w:cs="Times New Roman"/>
              <w:sz w:val="24"/>
              <w:szCs w:val="24"/>
            </w:rPr>
            <w:t>e</w:t>
          </w:r>
          <w:r w:rsidRPr="00215C1B">
            <w:rPr>
              <w:rFonts w:ascii="Times New Roman" w:hAnsi="Times New Roman" w:cs="Times New Roman"/>
              <w:sz w:val="24"/>
              <w:szCs w:val="24"/>
            </w:rPr>
            <w:t xml:space="preserve">conomic </w:t>
          </w:r>
          <w:r>
            <w:rPr>
              <w:rFonts w:ascii="Times New Roman" w:hAnsi="Times New Roman" w:cs="Times New Roman"/>
              <w:sz w:val="24"/>
              <w:szCs w:val="24"/>
            </w:rPr>
            <w:t>a</w:t>
          </w:r>
          <w:r w:rsidRPr="00215C1B">
            <w:rPr>
              <w:rFonts w:ascii="Times New Roman" w:hAnsi="Times New Roman" w:cs="Times New Roman"/>
              <w:sz w:val="24"/>
              <w:szCs w:val="24"/>
            </w:rPr>
            <w:t xml:space="preserve">nalysis and </w:t>
          </w:r>
          <w:r>
            <w:rPr>
              <w:rFonts w:ascii="Times New Roman" w:hAnsi="Times New Roman" w:cs="Times New Roman"/>
              <w:sz w:val="24"/>
              <w:szCs w:val="24"/>
            </w:rPr>
            <w:t>s</w:t>
          </w:r>
          <w:r w:rsidRPr="00215C1B">
            <w:rPr>
              <w:rFonts w:ascii="Times New Roman" w:hAnsi="Times New Roman" w:cs="Times New Roman"/>
              <w:sz w:val="24"/>
              <w:szCs w:val="24"/>
            </w:rPr>
            <w:t xml:space="preserve">ection </w:t>
          </w:r>
          <w:r>
            <w:rPr>
              <w:rFonts w:ascii="Times New Roman" w:hAnsi="Times New Roman" w:cs="Times New Roman"/>
              <w:sz w:val="24"/>
              <w:szCs w:val="24"/>
            </w:rPr>
            <w:t>two the</w:t>
          </w:r>
          <w:r w:rsidRPr="00215C1B">
            <w:rPr>
              <w:rFonts w:ascii="Times New Roman" w:hAnsi="Times New Roman" w:cs="Times New Roman"/>
              <w:sz w:val="24"/>
              <w:szCs w:val="24"/>
            </w:rPr>
            <w:t xml:space="preserve"> </w:t>
          </w:r>
          <w:r>
            <w:rPr>
              <w:rFonts w:ascii="Times New Roman" w:hAnsi="Times New Roman" w:cs="Times New Roman"/>
              <w:sz w:val="24"/>
              <w:szCs w:val="24"/>
            </w:rPr>
            <w:t>t</w:t>
          </w:r>
          <w:r w:rsidRPr="00215C1B">
            <w:rPr>
              <w:rFonts w:ascii="Times New Roman" w:hAnsi="Times New Roman" w:cs="Times New Roman"/>
              <w:sz w:val="24"/>
              <w:szCs w:val="24"/>
            </w:rPr>
            <w:t xml:space="preserve">echnical </w:t>
          </w:r>
          <w:r>
            <w:rPr>
              <w:rFonts w:ascii="Times New Roman" w:hAnsi="Times New Roman" w:cs="Times New Roman"/>
              <w:sz w:val="24"/>
              <w:szCs w:val="24"/>
            </w:rPr>
            <w:t>a</w:t>
          </w:r>
          <w:r w:rsidRPr="00215C1B">
            <w:rPr>
              <w:rFonts w:ascii="Times New Roman" w:hAnsi="Times New Roman" w:cs="Times New Roman"/>
              <w:sz w:val="24"/>
              <w:szCs w:val="24"/>
            </w:rPr>
            <w:t xml:space="preserve">nalysis. </w:t>
          </w:r>
        </w:p>
        <w:p w:rsidR="006B7631" w:rsidRDefault="006B7631" w:rsidP="004138AE">
          <w:pPr>
            <w:pStyle w:val="NoSpacing"/>
            <w:jc w:val="both"/>
            <w:rPr>
              <w:rFonts w:ascii="Times New Roman" w:hAnsi="Times New Roman" w:cs="Times New Roman"/>
              <w:color w:val="4F81BD" w:themeColor="accent1"/>
              <w:sz w:val="24"/>
              <w:szCs w:val="24"/>
            </w:rPr>
          </w:pPr>
        </w:p>
        <w:p w:rsidR="00A95F38" w:rsidRPr="00D055C7" w:rsidRDefault="00C74EE5" w:rsidP="004138AE">
          <w:pPr>
            <w:pStyle w:val="Heading2"/>
            <w:rPr>
              <w:rFonts w:ascii="Times New Roman" w:hAnsi="Times New Roman" w:cs="Times New Roman"/>
              <w:color w:val="000000" w:themeColor="text1"/>
              <w:sz w:val="24"/>
              <w:szCs w:val="24"/>
            </w:rPr>
          </w:pPr>
          <w:bookmarkStart w:id="7" w:name="_Toc485128736"/>
          <w:r w:rsidRPr="00D055C7">
            <w:rPr>
              <w:rFonts w:ascii="Times New Roman" w:hAnsi="Times New Roman" w:cs="Times New Roman"/>
              <w:color w:val="000000" w:themeColor="text1"/>
              <w:sz w:val="24"/>
              <w:szCs w:val="24"/>
            </w:rPr>
            <w:t xml:space="preserve">2.0 </w:t>
          </w:r>
          <w:r w:rsidR="00A95F38" w:rsidRPr="00D055C7">
            <w:rPr>
              <w:rFonts w:ascii="Times New Roman" w:hAnsi="Times New Roman" w:cs="Times New Roman"/>
              <w:color w:val="000000" w:themeColor="text1"/>
              <w:sz w:val="24"/>
              <w:szCs w:val="24"/>
              <w:u w:val="single"/>
            </w:rPr>
            <w:t>FINANCIAL ANALYSIS</w:t>
          </w:r>
          <w:bookmarkEnd w:id="7"/>
        </w:p>
        <w:p w:rsidR="00D235BF" w:rsidRPr="00215C1B" w:rsidRDefault="00D235BF" w:rsidP="004138AE">
          <w:pPr>
            <w:rPr>
              <w:rFonts w:ascii="Times New Roman" w:hAnsi="Times New Roman" w:cs="Times New Roman"/>
              <w:b/>
              <w:sz w:val="24"/>
              <w:szCs w:val="24"/>
            </w:rPr>
          </w:pPr>
        </w:p>
        <w:p w:rsidR="00A95F38" w:rsidRPr="00215C1B" w:rsidRDefault="0011634F" w:rsidP="004138AE">
          <w:pPr>
            <w:rPr>
              <w:rFonts w:ascii="Times New Roman" w:hAnsi="Times New Roman" w:cs="Times New Roman"/>
              <w:sz w:val="24"/>
              <w:szCs w:val="24"/>
            </w:rPr>
          </w:pPr>
          <w:r>
            <w:rPr>
              <w:rFonts w:ascii="Times New Roman" w:hAnsi="Times New Roman" w:cs="Times New Roman"/>
              <w:sz w:val="24"/>
              <w:szCs w:val="24"/>
            </w:rPr>
            <w:t>In this document</w:t>
          </w:r>
          <w:r w:rsidR="009C6494">
            <w:rPr>
              <w:rFonts w:ascii="Times New Roman" w:hAnsi="Times New Roman" w:cs="Times New Roman"/>
              <w:sz w:val="24"/>
              <w:szCs w:val="24"/>
            </w:rPr>
            <w:t xml:space="preserve"> a number</w:t>
          </w:r>
          <w:r w:rsidR="00A95F38" w:rsidRPr="00215C1B">
            <w:rPr>
              <w:rFonts w:ascii="Times New Roman" w:hAnsi="Times New Roman" w:cs="Times New Roman"/>
              <w:sz w:val="24"/>
              <w:szCs w:val="24"/>
            </w:rPr>
            <w:t xml:space="preserve"> of fin</w:t>
          </w:r>
          <w:r w:rsidR="009C6494">
            <w:rPr>
              <w:rFonts w:ascii="Times New Roman" w:hAnsi="Times New Roman" w:cs="Times New Roman"/>
              <w:sz w:val="24"/>
              <w:szCs w:val="24"/>
            </w:rPr>
            <w:t xml:space="preserve">ancial </w:t>
          </w:r>
          <w:r w:rsidR="0072561F">
            <w:rPr>
              <w:rFonts w:ascii="Times New Roman" w:hAnsi="Times New Roman" w:cs="Times New Roman"/>
              <w:sz w:val="24"/>
              <w:szCs w:val="24"/>
            </w:rPr>
            <w:t xml:space="preserve">indicators are </w:t>
          </w:r>
          <w:r w:rsidR="009C6494">
            <w:rPr>
              <w:rFonts w:ascii="Times New Roman" w:hAnsi="Times New Roman" w:cs="Times New Roman"/>
              <w:sz w:val="24"/>
              <w:szCs w:val="24"/>
            </w:rPr>
            <w:t xml:space="preserve">utilized </w:t>
          </w:r>
          <w:r w:rsidR="00A95F38" w:rsidRPr="00215C1B">
            <w:rPr>
              <w:rFonts w:ascii="Times New Roman" w:hAnsi="Times New Roman" w:cs="Times New Roman"/>
              <w:sz w:val="24"/>
              <w:szCs w:val="24"/>
            </w:rPr>
            <w:t xml:space="preserve">to </w:t>
          </w:r>
          <w:r w:rsidR="00D40767" w:rsidRPr="00215C1B">
            <w:rPr>
              <w:rFonts w:ascii="Times New Roman" w:hAnsi="Times New Roman" w:cs="Times New Roman"/>
              <w:sz w:val="24"/>
              <w:szCs w:val="24"/>
            </w:rPr>
            <w:t>assess</w:t>
          </w:r>
          <w:r w:rsidR="00D40767">
            <w:rPr>
              <w:rFonts w:ascii="Times New Roman" w:hAnsi="Times New Roman" w:cs="Times New Roman"/>
              <w:sz w:val="24"/>
              <w:szCs w:val="24"/>
            </w:rPr>
            <w:t xml:space="preserve"> </w:t>
          </w:r>
          <w:r w:rsidR="00AA570E">
            <w:rPr>
              <w:rFonts w:ascii="Times New Roman" w:hAnsi="Times New Roman" w:cs="Times New Roman"/>
              <w:sz w:val="24"/>
              <w:szCs w:val="24"/>
            </w:rPr>
            <w:t>the company</w:t>
          </w:r>
          <w:r w:rsidR="00DA5A9A">
            <w:rPr>
              <w:rFonts w:ascii="Times New Roman" w:hAnsi="Times New Roman" w:cs="Times New Roman"/>
              <w:sz w:val="24"/>
              <w:szCs w:val="24"/>
            </w:rPr>
            <w:t>’</w:t>
          </w:r>
          <w:r w:rsidR="0072561F">
            <w:rPr>
              <w:rFonts w:ascii="Times New Roman" w:hAnsi="Times New Roman" w:cs="Times New Roman"/>
              <w:sz w:val="24"/>
              <w:szCs w:val="24"/>
            </w:rPr>
            <w:t>s financial sound</w:t>
          </w:r>
          <w:r w:rsidR="00DA5A9A">
            <w:rPr>
              <w:rFonts w:ascii="Times New Roman" w:hAnsi="Times New Roman" w:cs="Times New Roman"/>
              <w:sz w:val="24"/>
              <w:szCs w:val="24"/>
            </w:rPr>
            <w:t>ness</w:t>
          </w:r>
          <w:r w:rsidR="0072561F">
            <w:rPr>
              <w:rFonts w:ascii="Times New Roman" w:hAnsi="Times New Roman" w:cs="Times New Roman"/>
              <w:sz w:val="24"/>
              <w:szCs w:val="24"/>
            </w:rPr>
            <w:t xml:space="preserve"> and sustainab</w:t>
          </w:r>
          <w:r w:rsidR="00DA5A9A">
            <w:rPr>
              <w:rFonts w:ascii="Times New Roman" w:hAnsi="Times New Roman" w:cs="Times New Roman"/>
              <w:sz w:val="24"/>
              <w:szCs w:val="24"/>
            </w:rPr>
            <w:t>ility</w:t>
          </w:r>
          <w:r w:rsidR="0072561F">
            <w:rPr>
              <w:rFonts w:ascii="Times New Roman" w:hAnsi="Times New Roman" w:cs="Times New Roman"/>
              <w:sz w:val="24"/>
              <w:szCs w:val="24"/>
            </w:rPr>
            <w:t xml:space="preserve"> in relation to other electric utilities</w:t>
          </w:r>
          <w:r w:rsidR="00DA5A9A">
            <w:rPr>
              <w:rFonts w:ascii="Times New Roman" w:hAnsi="Times New Roman" w:cs="Times New Roman"/>
              <w:sz w:val="24"/>
              <w:szCs w:val="24"/>
            </w:rPr>
            <w:t>.</w:t>
          </w:r>
          <w:r w:rsidR="0023456C" w:rsidRPr="00215C1B">
            <w:rPr>
              <w:rFonts w:ascii="Times New Roman" w:hAnsi="Times New Roman" w:cs="Times New Roman"/>
              <w:sz w:val="24"/>
              <w:szCs w:val="24"/>
            </w:rPr>
            <w:t xml:space="preserve"> The </w:t>
          </w:r>
          <w:r w:rsidR="00473FFC">
            <w:rPr>
              <w:rFonts w:ascii="Times New Roman" w:hAnsi="Times New Roman" w:cs="Times New Roman"/>
              <w:sz w:val="24"/>
              <w:szCs w:val="24"/>
            </w:rPr>
            <w:t>assessment</w:t>
          </w:r>
          <w:r w:rsidR="002E2B59">
            <w:rPr>
              <w:rFonts w:ascii="Times New Roman" w:hAnsi="Times New Roman" w:cs="Times New Roman"/>
              <w:sz w:val="24"/>
              <w:szCs w:val="24"/>
            </w:rPr>
            <w:t>s are</w:t>
          </w:r>
          <w:r w:rsidR="00866A55">
            <w:rPr>
              <w:rFonts w:ascii="Times New Roman" w:hAnsi="Times New Roman" w:cs="Times New Roman"/>
              <w:sz w:val="24"/>
              <w:szCs w:val="24"/>
            </w:rPr>
            <w:t xml:space="preserve"> </w:t>
          </w:r>
          <w:r w:rsidR="002E2B59">
            <w:rPr>
              <w:rFonts w:ascii="Times New Roman" w:hAnsi="Times New Roman" w:cs="Times New Roman"/>
              <w:sz w:val="24"/>
              <w:szCs w:val="24"/>
            </w:rPr>
            <w:t>made in four (4) areas</w:t>
          </w:r>
          <w:r w:rsidR="0023456C" w:rsidRPr="00215C1B">
            <w:rPr>
              <w:rFonts w:ascii="Times New Roman" w:hAnsi="Times New Roman" w:cs="Times New Roman"/>
              <w:sz w:val="24"/>
              <w:szCs w:val="24"/>
            </w:rPr>
            <w:t>-:</w:t>
          </w:r>
        </w:p>
        <w:p w:rsidR="00A95F38" w:rsidRPr="00215C1B" w:rsidRDefault="00A95F38" w:rsidP="004138AE">
          <w:pPr>
            <w:rPr>
              <w:rFonts w:ascii="Times New Roman" w:hAnsi="Times New Roman" w:cs="Times New Roman"/>
              <w:sz w:val="24"/>
              <w:szCs w:val="24"/>
            </w:rPr>
          </w:pPr>
        </w:p>
        <w:p w:rsidR="00A95F38" w:rsidRPr="00215C1B" w:rsidRDefault="00A95F38" w:rsidP="004138AE">
          <w:pPr>
            <w:pStyle w:val="ListParagraph"/>
            <w:ind w:left="1080"/>
            <w:rPr>
              <w:rFonts w:ascii="Times New Roman" w:hAnsi="Times New Roman" w:cs="Times New Roman"/>
              <w:sz w:val="24"/>
              <w:szCs w:val="24"/>
            </w:rPr>
          </w:pPr>
        </w:p>
        <w:p w:rsidR="00A95F38" w:rsidRPr="00215C1B" w:rsidRDefault="00054922" w:rsidP="00875AF0">
          <w:pPr>
            <w:pStyle w:val="ListParagraph"/>
            <w:numPr>
              <w:ilvl w:val="0"/>
              <w:numId w:val="1"/>
            </w:numPr>
            <w:rPr>
              <w:rFonts w:ascii="Times New Roman" w:hAnsi="Times New Roman" w:cs="Times New Roman"/>
              <w:sz w:val="24"/>
              <w:szCs w:val="24"/>
            </w:rPr>
          </w:pPr>
          <w:r w:rsidRPr="00215C1B">
            <w:rPr>
              <w:rFonts w:ascii="Times New Roman" w:hAnsi="Times New Roman" w:cs="Times New Roman"/>
              <w:sz w:val="24"/>
              <w:szCs w:val="24"/>
            </w:rPr>
            <w:t xml:space="preserve">Profitability - </w:t>
          </w:r>
          <w:r w:rsidR="0023456C" w:rsidRPr="00215C1B">
            <w:rPr>
              <w:rFonts w:ascii="Times New Roman" w:hAnsi="Times New Roman" w:cs="Times New Roman"/>
              <w:sz w:val="24"/>
              <w:szCs w:val="24"/>
            </w:rPr>
            <w:t xml:space="preserve"> measure</w:t>
          </w:r>
          <w:r w:rsidRPr="00215C1B">
            <w:rPr>
              <w:rFonts w:ascii="Times New Roman" w:hAnsi="Times New Roman" w:cs="Times New Roman"/>
              <w:sz w:val="24"/>
              <w:szCs w:val="24"/>
            </w:rPr>
            <w:t>s</w:t>
          </w:r>
          <w:r w:rsidR="0023456C" w:rsidRPr="00215C1B">
            <w:rPr>
              <w:rFonts w:ascii="Times New Roman" w:hAnsi="Times New Roman" w:cs="Times New Roman"/>
              <w:sz w:val="24"/>
              <w:szCs w:val="24"/>
            </w:rPr>
            <w:t xml:space="preserve"> the ability of the </w:t>
          </w:r>
          <w:r w:rsidR="00F903B5" w:rsidRPr="00215C1B">
            <w:rPr>
              <w:rFonts w:ascii="Times New Roman" w:hAnsi="Times New Roman" w:cs="Times New Roman"/>
              <w:sz w:val="24"/>
              <w:szCs w:val="24"/>
            </w:rPr>
            <w:t>utility</w:t>
          </w:r>
          <w:r w:rsidR="0023456C" w:rsidRPr="00215C1B">
            <w:rPr>
              <w:rFonts w:ascii="Times New Roman" w:hAnsi="Times New Roman" w:cs="Times New Roman"/>
              <w:sz w:val="24"/>
              <w:szCs w:val="24"/>
            </w:rPr>
            <w:t xml:space="preserve"> to use its resources to generate earnings/ profit</w:t>
          </w:r>
          <w:r w:rsidR="000B7A7F" w:rsidRPr="00215C1B">
            <w:rPr>
              <w:rFonts w:ascii="Times New Roman" w:hAnsi="Times New Roman" w:cs="Times New Roman"/>
              <w:sz w:val="24"/>
              <w:szCs w:val="24"/>
            </w:rPr>
            <w:t>;</w:t>
          </w:r>
        </w:p>
        <w:p w:rsidR="009C0B8A" w:rsidRPr="00215C1B" w:rsidRDefault="009C0B8A" w:rsidP="004138AE">
          <w:pPr>
            <w:pStyle w:val="ListParagraph"/>
            <w:ind w:left="1080"/>
            <w:rPr>
              <w:rFonts w:ascii="Times New Roman" w:hAnsi="Times New Roman" w:cs="Times New Roman"/>
              <w:sz w:val="24"/>
              <w:szCs w:val="24"/>
            </w:rPr>
          </w:pPr>
        </w:p>
        <w:p w:rsidR="00A95F38" w:rsidRPr="00215C1B" w:rsidRDefault="00A95F38" w:rsidP="00875AF0">
          <w:pPr>
            <w:pStyle w:val="ListParagraph"/>
            <w:numPr>
              <w:ilvl w:val="0"/>
              <w:numId w:val="1"/>
            </w:numPr>
            <w:rPr>
              <w:rFonts w:ascii="Times New Roman" w:hAnsi="Times New Roman" w:cs="Times New Roman"/>
              <w:sz w:val="24"/>
              <w:szCs w:val="24"/>
            </w:rPr>
          </w:pPr>
          <w:r w:rsidRPr="00215C1B">
            <w:rPr>
              <w:rFonts w:ascii="Times New Roman" w:hAnsi="Times New Roman" w:cs="Times New Roman"/>
              <w:sz w:val="24"/>
              <w:szCs w:val="24"/>
            </w:rPr>
            <w:t>O</w:t>
          </w:r>
          <w:r w:rsidR="00F903B5" w:rsidRPr="00215C1B">
            <w:rPr>
              <w:rFonts w:ascii="Times New Roman" w:hAnsi="Times New Roman" w:cs="Times New Roman"/>
              <w:sz w:val="24"/>
              <w:szCs w:val="24"/>
            </w:rPr>
            <w:t>perating Efficiency -  measure</w:t>
          </w:r>
          <w:r w:rsidR="00054922" w:rsidRPr="00215C1B">
            <w:rPr>
              <w:rFonts w:ascii="Times New Roman" w:hAnsi="Times New Roman" w:cs="Times New Roman"/>
              <w:sz w:val="24"/>
              <w:szCs w:val="24"/>
            </w:rPr>
            <w:t>s</w:t>
          </w:r>
          <w:r w:rsidR="0011634F">
            <w:rPr>
              <w:rFonts w:ascii="Times New Roman" w:hAnsi="Times New Roman" w:cs="Times New Roman"/>
              <w:sz w:val="24"/>
              <w:szCs w:val="24"/>
            </w:rPr>
            <w:t xml:space="preserve"> how well the utility </w:t>
          </w:r>
          <w:r w:rsidR="000B7A7F" w:rsidRPr="00215C1B">
            <w:rPr>
              <w:rFonts w:ascii="Times New Roman" w:hAnsi="Times New Roman" w:cs="Times New Roman"/>
              <w:sz w:val="24"/>
              <w:szCs w:val="24"/>
            </w:rPr>
            <w:t>use</w:t>
          </w:r>
          <w:r w:rsidR="00603ECF">
            <w:rPr>
              <w:rFonts w:ascii="Times New Roman" w:hAnsi="Times New Roman" w:cs="Times New Roman"/>
              <w:sz w:val="24"/>
              <w:szCs w:val="24"/>
            </w:rPr>
            <w:t>s</w:t>
          </w:r>
          <w:r w:rsidR="000B7A7F" w:rsidRPr="00215C1B">
            <w:rPr>
              <w:rFonts w:ascii="Times New Roman" w:hAnsi="Times New Roman" w:cs="Times New Roman"/>
              <w:sz w:val="24"/>
              <w:szCs w:val="24"/>
            </w:rPr>
            <w:t xml:space="preserve"> its  </w:t>
          </w:r>
          <w:r w:rsidR="007F3B94" w:rsidRPr="00215C1B">
            <w:rPr>
              <w:rFonts w:ascii="Times New Roman" w:hAnsi="Times New Roman" w:cs="Times New Roman"/>
              <w:sz w:val="24"/>
              <w:szCs w:val="24"/>
            </w:rPr>
            <w:t>input</w:t>
          </w:r>
          <w:r w:rsidR="000B7A7F" w:rsidRPr="00215C1B">
            <w:rPr>
              <w:rFonts w:ascii="Times New Roman" w:hAnsi="Times New Roman" w:cs="Times New Roman"/>
              <w:sz w:val="24"/>
              <w:szCs w:val="24"/>
            </w:rPr>
            <w:t xml:space="preserve"> </w:t>
          </w:r>
          <w:r w:rsidR="0011634F">
            <w:rPr>
              <w:rFonts w:ascii="Times New Roman" w:hAnsi="Times New Roman" w:cs="Times New Roman"/>
              <w:sz w:val="24"/>
              <w:szCs w:val="24"/>
            </w:rPr>
            <w:t xml:space="preserve">to produce a </w:t>
          </w:r>
          <w:r w:rsidR="000B7A7F" w:rsidRPr="00215C1B">
            <w:rPr>
              <w:rFonts w:ascii="Times New Roman" w:hAnsi="Times New Roman" w:cs="Times New Roman"/>
              <w:sz w:val="24"/>
              <w:szCs w:val="24"/>
            </w:rPr>
            <w:t>given</w:t>
          </w:r>
          <w:r w:rsidR="0011634F">
            <w:rPr>
              <w:rFonts w:ascii="Times New Roman" w:hAnsi="Times New Roman" w:cs="Times New Roman"/>
              <w:sz w:val="24"/>
              <w:szCs w:val="24"/>
            </w:rPr>
            <w:t xml:space="preserve"> level of output</w:t>
          </w:r>
          <w:r w:rsidR="000B7A7F" w:rsidRPr="00215C1B">
            <w:rPr>
              <w:rFonts w:ascii="Times New Roman" w:hAnsi="Times New Roman" w:cs="Times New Roman"/>
              <w:sz w:val="24"/>
              <w:szCs w:val="24"/>
            </w:rPr>
            <w:t>;</w:t>
          </w:r>
          <w:r w:rsidR="00F903B5" w:rsidRPr="00215C1B">
            <w:rPr>
              <w:rFonts w:ascii="Times New Roman" w:hAnsi="Times New Roman" w:cs="Times New Roman"/>
              <w:sz w:val="24"/>
              <w:szCs w:val="24"/>
            </w:rPr>
            <w:t xml:space="preserve"> </w:t>
          </w:r>
        </w:p>
        <w:p w:rsidR="00F903B5" w:rsidRPr="00215C1B" w:rsidRDefault="00F903B5" w:rsidP="004138AE">
          <w:pPr>
            <w:pStyle w:val="ListParagraph"/>
            <w:ind w:left="1080"/>
            <w:rPr>
              <w:rFonts w:ascii="Times New Roman" w:hAnsi="Times New Roman" w:cs="Times New Roman"/>
              <w:sz w:val="24"/>
              <w:szCs w:val="24"/>
            </w:rPr>
          </w:pPr>
        </w:p>
        <w:p w:rsidR="00F903B5" w:rsidRPr="00215C1B" w:rsidRDefault="00F903B5" w:rsidP="00875AF0">
          <w:pPr>
            <w:pStyle w:val="ListParagraph"/>
            <w:numPr>
              <w:ilvl w:val="0"/>
              <w:numId w:val="1"/>
            </w:numPr>
            <w:rPr>
              <w:rFonts w:ascii="Times New Roman" w:hAnsi="Times New Roman" w:cs="Times New Roman"/>
              <w:sz w:val="24"/>
              <w:szCs w:val="24"/>
            </w:rPr>
          </w:pPr>
          <w:r w:rsidRPr="00215C1B">
            <w:rPr>
              <w:rFonts w:ascii="Times New Roman" w:hAnsi="Times New Roman" w:cs="Times New Roman"/>
              <w:sz w:val="24"/>
              <w:szCs w:val="24"/>
            </w:rPr>
            <w:t xml:space="preserve">Capital </w:t>
          </w:r>
          <w:r w:rsidR="0026222B" w:rsidRPr="00215C1B">
            <w:rPr>
              <w:rFonts w:ascii="Times New Roman" w:hAnsi="Times New Roman" w:cs="Times New Roman"/>
              <w:sz w:val="24"/>
              <w:szCs w:val="24"/>
            </w:rPr>
            <w:t>Structure</w:t>
          </w:r>
          <w:r w:rsidR="000B7A7F" w:rsidRPr="00215C1B">
            <w:rPr>
              <w:rFonts w:ascii="Times New Roman" w:hAnsi="Times New Roman" w:cs="Times New Roman"/>
              <w:sz w:val="24"/>
              <w:szCs w:val="24"/>
            </w:rPr>
            <w:t xml:space="preserve"> </w:t>
          </w:r>
          <w:r w:rsidRPr="00215C1B">
            <w:rPr>
              <w:rFonts w:ascii="Times New Roman" w:hAnsi="Times New Roman" w:cs="Times New Roman"/>
              <w:sz w:val="24"/>
              <w:szCs w:val="24"/>
            </w:rPr>
            <w:t xml:space="preserve">– </w:t>
          </w:r>
          <w:r w:rsidR="00A95F38" w:rsidRPr="00215C1B">
            <w:rPr>
              <w:rFonts w:ascii="Times New Roman" w:hAnsi="Times New Roman" w:cs="Times New Roman"/>
              <w:sz w:val="24"/>
              <w:szCs w:val="24"/>
            </w:rPr>
            <w:t xml:space="preserve"> </w:t>
          </w:r>
          <w:r w:rsidRPr="00215C1B">
            <w:rPr>
              <w:rFonts w:ascii="Times New Roman" w:hAnsi="Times New Roman" w:cs="Times New Roman"/>
              <w:sz w:val="24"/>
              <w:szCs w:val="24"/>
            </w:rPr>
            <w:t xml:space="preserve"> measures how the utility finances its op</w:t>
          </w:r>
          <w:r w:rsidR="00603ECF">
            <w:rPr>
              <w:rFonts w:ascii="Times New Roman" w:hAnsi="Times New Roman" w:cs="Times New Roman"/>
              <w:sz w:val="24"/>
              <w:szCs w:val="24"/>
            </w:rPr>
            <w:t>eration by using different</w:t>
          </w:r>
          <w:r w:rsidRPr="00215C1B">
            <w:rPr>
              <w:rFonts w:ascii="Times New Roman" w:hAnsi="Times New Roman" w:cs="Times New Roman"/>
              <w:sz w:val="24"/>
              <w:szCs w:val="24"/>
            </w:rPr>
            <w:t xml:space="preserve"> sources of funds</w:t>
          </w:r>
          <w:r w:rsidR="000B7A7F" w:rsidRPr="00215C1B">
            <w:rPr>
              <w:rFonts w:ascii="Times New Roman" w:hAnsi="Times New Roman" w:cs="Times New Roman"/>
              <w:sz w:val="24"/>
              <w:szCs w:val="24"/>
            </w:rPr>
            <w:t xml:space="preserve"> ( debt and equity);</w:t>
          </w:r>
        </w:p>
        <w:p w:rsidR="009C0B8A" w:rsidRPr="00215C1B" w:rsidRDefault="009C0B8A" w:rsidP="004138AE">
          <w:pPr>
            <w:pStyle w:val="ListParagraph"/>
            <w:ind w:left="1080"/>
            <w:rPr>
              <w:rFonts w:ascii="Times New Roman" w:hAnsi="Times New Roman" w:cs="Times New Roman"/>
              <w:sz w:val="24"/>
              <w:szCs w:val="24"/>
            </w:rPr>
          </w:pPr>
        </w:p>
        <w:p w:rsidR="00A95F38" w:rsidRDefault="00F903B5" w:rsidP="00875AF0">
          <w:pPr>
            <w:pStyle w:val="ListParagraph"/>
            <w:numPr>
              <w:ilvl w:val="0"/>
              <w:numId w:val="1"/>
            </w:numPr>
            <w:rPr>
              <w:rFonts w:ascii="Times New Roman" w:hAnsi="Times New Roman" w:cs="Times New Roman"/>
              <w:sz w:val="24"/>
              <w:szCs w:val="24"/>
            </w:rPr>
          </w:pPr>
          <w:r w:rsidRPr="00215C1B">
            <w:rPr>
              <w:rFonts w:ascii="Times New Roman" w:hAnsi="Times New Roman" w:cs="Times New Roman"/>
              <w:sz w:val="24"/>
              <w:szCs w:val="24"/>
            </w:rPr>
            <w:t>Liquidity</w:t>
          </w:r>
          <w:r w:rsidR="007F3B94" w:rsidRPr="00215C1B">
            <w:rPr>
              <w:rFonts w:ascii="Times New Roman" w:hAnsi="Times New Roman" w:cs="Times New Roman"/>
              <w:sz w:val="24"/>
              <w:szCs w:val="24"/>
            </w:rPr>
            <w:t>- measures</w:t>
          </w:r>
          <w:r w:rsidRPr="00215C1B">
            <w:rPr>
              <w:rFonts w:ascii="Times New Roman" w:hAnsi="Times New Roman" w:cs="Times New Roman"/>
              <w:sz w:val="24"/>
              <w:szCs w:val="24"/>
            </w:rPr>
            <w:t xml:space="preserve"> </w:t>
          </w:r>
          <w:r w:rsidR="007F3B94" w:rsidRPr="00215C1B">
            <w:rPr>
              <w:rFonts w:ascii="Times New Roman" w:hAnsi="Times New Roman" w:cs="Times New Roman"/>
              <w:sz w:val="24"/>
              <w:szCs w:val="24"/>
            </w:rPr>
            <w:t>the ability</w:t>
          </w:r>
          <w:r w:rsidR="00A95F38" w:rsidRPr="00215C1B">
            <w:rPr>
              <w:rFonts w:ascii="Times New Roman" w:hAnsi="Times New Roman" w:cs="Times New Roman"/>
              <w:sz w:val="24"/>
              <w:szCs w:val="24"/>
            </w:rPr>
            <w:t xml:space="preserve"> </w:t>
          </w:r>
          <w:r w:rsidRPr="00215C1B">
            <w:rPr>
              <w:rFonts w:ascii="Times New Roman" w:hAnsi="Times New Roman" w:cs="Times New Roman"/>
              <w:sz w:val="24"/>
              <w:szCs w:val="24"/>
            </w:rPr>
            <w:t>of the utility</w:t>
          </w:r>
          <w:r w:rsidR="000F3277" w:rsidRPr="00215C1B">
            <w:rPr>
              <w:rFonts w:ascii="Times New Roman" w:hAnsi="Times New Roman" w:cs="Times New Roman"/>
              <w:sz w:val="24"/>
              <w:szCs w:val="24"/>
            </w:rPr>
            <w:t xml:space="preserve"> to generate</w:t>
          </w:r>
          <w:r w:rsidR="00A95F38" w:rsidRPr="00215C1B">
            <w:rPr>
              <w:rFonts w:ascii="Times New Roman" w:hAnsi="Times New Roman" w:cs="Times New Roman"/>
              <w:sz w:val="24"/>
              <w:szCs w:val="24"/>
            </w:rPr>
            <w:t xml:space="preserve"> sufficient ca</w:t>
          </w:r>
          <w:r w:rsidR="000F3277" w:rsidRPr="00215C1B">
            <w:rPr>
              <w:rFonts w:ascii="Times New Roman" w:hAnsi="Times New Roman" w:cs="Times New Roman"/>
              <w:sz w:val="24"/>
              <w:szCs w:val="24"/>
            </w:rPr>
            <w:t>sh to cover short term obligation</w:t>
          </w:r>
          <w:r w:rsidR="007F3B94" w:rsidRPr="00215C1B">
            <w:rPr>
              <w:rFonts w:ascii="Times New Roman" w:hAnsi="Times New Roman" w:cs="Times New Roman"/>
              <w:sz w:val="24"/>
              <w:szCs w:val="24"/>
            </w:rPr>
            <w:t>s.</w:t>
          </w:r>
        </w:p>
        <w:p w:rsidR="00A95F38" w:rsidRPr="002E2B59" w:rsidRDefault="006E7B8F" w:rsidP="004138AE">
          <w:pPr>
            <w:pStyle w:val="Heading2"/>
            <w:rPr>
              <w:rFonts w:ascii="Times New Roman" w:hAnsi="Times New Roman" w:cs="Times New Roman"/>
              <w:color w:val="000000" w:themeColor="text1"/>
              <w:sz w:val="24"/>
              <w:szCs w:val="24"/>
            </w:rPr>
          </w:pPr>
          <w:bookmarkStart w:id="8" w:name="_Toc485128737"/>
          <w:r w:rsidRPr="002E2B59">
            <w:rPr>
              <w:rFonts w:ascii="Times New Roman" w:hAnsi="Times New Roman" w:cs="Times New Roman"/>
              <w:color w:val="000000" w:themeColor="text1"/>
              <w:sz w:val="24"/>
              <w:szCs w:val="24"/>
            </w:rPr>
            <w:t xml:space="preserve">2.1 </w:t>
          </w:r>
          <w:r w:rsidR="00557A5F" w:rsidRPr="002E2B59">
            <w:rPr>
              <w:rFonts w:ascii="Times New Roman" w:hAnsi="Times New Roman" w:cs="Times New Roman"/>
              <w:color w:val="000000" w:themeColor="text1"/>
              <w:sz w:val="24"/>
              <w:szCs w:val="24"/>
              <w:u w:val="single"/>
            </w:rPr>
            <w:t>PROFITABILIT</w:t>
          </w:r>
          <w:r w:rsidR="00A95F38" w:rsidRPr="002E2B59">
            <w:rPr>
              <w:rFonts w:ascii="Times New Roman" w:hAnsi="Times New Roman" w:cs="Times New Roman"/>
              <w:color w:val="000000" w:themeColor="text1"/>
              <w:sz w:val="24"/>
              <w:szCs w:val="24"/>
              <w:u w:val="single"/>
            </w:rPr>
            <w:t>Y RATIO</w:t>
          </w:r>
          <w:r w:rsidR="00557A5F" w:rsidRPr="002E2B59">
            <w:rPr>
              <w:rFonts w:ascii="Times New Roman" w:hAnsi="Times New Roman" w:cs="Times New Roman"/>
              <w:color w:val="000000" w:themeColor="text1"/>
              <w:sz w:val="24"/>
              <w:szCs w:val="24"/>
              <w:u w:val="single"/>
            </w:rPr>
            <w:t>S</w:t>
          </w:r>
          <w:bookmarkEnd w:id="8"/>
        </w:p>
        <w:p w:rsidR="00053A38" w:rsidRPr="002E2B59" w:rsidRDefault="00053A38" w:rsidP="004138AE">
          <w:pPr>
            <w:rPr>
              <w:rFonts w:ascii="Times New Roman" w:hAnsi="Times New Roman" w:cs="Times New Roman"/>
              <w:b/>
              <w:color w:val="000000" w:themeColor="text1"/>
              <w:sz w:val="24"/>
              <w:szCs w:val="24"/>
            </w:rPr>
          </w:pPr>
        </w:p>
        <w:p w:rsidR="0009368A" w:rsidRPr="00215C1B" w:rsidRDefault="0009368A" w:rsidP="004138AE">
          <w:pPr>
            <w:rPr>
              <w:rFonts w:ascii="Times New Roman" w:hAnsi="Times New Roman" w:cs="Times New Roman"/>
              <w:sz w:val="24"/>
              <w:szCs w:val="24"/>
            </w:rPr>
          </w:pPr>
          <w:r w:rsidRPr="00215C1B">
            <w:rPr>
              <w:rFonts w:ascii="Times New Roman" w:hAnsi="Times New Roman" w:cs="Times New Roman"/>
              <w:sz w:val="24"/>
              <w:szCs w:val="24"/>
            </w:rPr>
            <w:t>The profitability ratios</w:t>
          </w:r>
          <w:r w:rsidR="002E2B59">
            <w:rPr>
              <w:rFonts w:ascii="Times New Roman" w:hAnsi="Times New Roman" w:cs="Times New Roman"/>
              <w:sz w:val="24"/>
              <w:szCs w:val="24"/>
            </w:rPr>
            <w:t xml:space="preserve"> presented in this report include </w:t>
          </w:r>
          <w:r w:rsidRPr="00215C1B">
            <w:rPr>
              <w:rFonts w:ascii="Times New Roman" w:hAnsi="Times New Roman" w:cs="Times New Roman"/>
              <w:sz w:val="24"/>
              <w:szCs w:val="24"/>
            </w:rPr>
            <w:t>profit margin, return on assets and return on equity.</w:t>
          </w:r>
          <w:r>
            <w:rPr>
              <w:rFonts w:ascii="Times New Roman" w:hAnsi="Times New Roman" w:cs="Times New Roman"/>
              <w:sz w:val="24"/>
              <w:szCs w:val="24"/>
            </w:rPr>
            <w:t xml:space="preserve"> </w:t>
          </w:r>
          <w:r w:rsidR="00D9392A">
            <w:rPr>
              <w:rFonts w:ascii="Times New Roman" w:hAnsi="Times New Roman" w:cs="Times New Roman"/>
              <w:sz w:val="24"/>
              <w:szCs w:val="24"/>
            </w:rPr>
            <w:t>The higher</w:t>
          </w:r>
          <w:r w:rsidR="00866A55">
            <w:rPr>
              <w:rFonts w:ascii="Times New Roman" w:hAnsi="Times New Roman" w:cs="Times New Roman"/>
              <w:sz w:val="24"/>
              <w:szCs w:val="24"/>
            </w:rPr>
            <w:t xml:space="preserve"> the </w:t>
          </w:r>
          <w:r w:rsidR="00D40767">
            <w:rPr>
              <w:rFonts w:ascii="Times New Roman" w:hAnsi="Times New Roman" w:cs="Times New Roman"/>
              <w:sz w:val="24"/>
              <w:szCs w:val="24"/>
            </w:rPr>
            <w:t xml:space="preserve">ratios, the more </w:t>
          </w:r>
          <w:r w:rsidR="00DA5A9A">
            <w:rPr>
              <w:rFonts w:ascii="Times New Roman" w:hAnsi="Times New Roman" w:cs="Times New Roman"/>
              <w:sz w:val="24"/>
              <w:szCs w:val="24"/>
            </w:rPr>
            <w:t>profitable</w:t>
          </w:r>
          <w:r w:rsidR="00D40767">
            <w:rPr>
              <w:rFonts w:ascii="Times New Roman" w:hAnsi="Times New Roman" w:cs="Times New Roman"/>
              <w:sz w:val="24"/>
              <w:szCs w:val="24"/>
            </w:rPr>
            <w:t xml:space="preserve"> are</w:t>
          </w:r>
          <w:r w:rsidR="00866A55">
            <w:rPr>
              <w:rFonts w:ascii="Times New Roman" w:hAnsi="Times New Roman" w:cs="Times New Roman"/>
              <w:sz w:val="24"/>
              <w:szCs w:val="24"/>
            </w:rPr>
            <w:t xml:space="preserve"> the firm</w:t>
          </w:r>
          <w:r w:rsidR="002E2B59">
            <w:rPr>
              <w:rFonts w:ascii="Times New Roman" w:hAnsi="Times New Roman" w:cs="Times New Roman"/>
              <w:sz w:val="24"/>
              <w:szCs w:val="24"/>
            </w:rPr>
            <w:t>s</w:t>
          </w:r>
          <w:r w:rsidR="00D9392A">
            <w:rPr>
              <w:rFonts w:ascii="Times New Roman" w:hAnsi="Times New Roman" w:cs="Times New Roman"/>
              <w:sz w:val="24"/>
              <w:szCs w:val="24"/>
            </w:rPr>
            <w:t xml:space="preserve">. </w:t>
          </w:r>
          <w:r w:rsidR="002E2B59">
            <w:rPr>
              <w:rFonts w:ascii="Times New Roman" w:hAnsi="Times New Roman" w:cs="Times New Roman"/>
              <w:sz w:val="24"/>
              <w:szCs w:val="24"/>
            </w:rPr>
            <w:t xml:space="preserve">The objective of the </w:t>
          </w:r>
          <w:r w:rsidR="00D432F9">
            <w:rPr>
              <w:rFonts w:ascii="Times New Roman" w:hAnsi="Times New Roman" w:cs="Times New Roman"/>
              <w:sz w:val="24"/>
              <w:szCs w:val="24"/>
            </w:rPr>
            <w:t>ratios is</w:t>
          </w:r>
          <w:r w:rsidR="002E2B59">
            <w:rPr>
              <w:rFonts w:ascii="Times New Roman" w:hAnsi="Times New Roman" w:cs="Times New Roman"/>
              <w:sz w:val="24"/>
              <w:szCs w:val="24"/>
            </w:rPr>
            <w:t xml:space="preserve"> </w:t>
          </w:r>
          <w:r w:rsidR="00866A55">
            <w:rPr>
              <w:rFonts w:ascii="Times New Roman" w:hAnsi="Times New Roman" w:cs="Times New Roman"/>
              <w:sz w:val="24"/>
              <w:szCs w:val="24"/>
            </w:rPr>
            <w:t xml:space="preserve">to measure </w:t>
          </w:r>
          <w:r w:rsidR="00DA5A9A">
            <w:rPr>
              <w:rFonts w:ascii="Times New Roman" w:hAnsi="Times New Roman" w:cs="Times New Roman"/>
              <w:sz w:val="24"/>
              <w:szCs w:val="24"/>
            </w:rPr>
            <w:t xml:space="preserve">the ability of </w:t>
          </w:r>
          <w:r w:rsidRPr="00215C1B">
            <w:rPr>
              <w:rFonts w:ascii="Times New Roman" w:hAnsi="Times New Roman" w:cs="Times New Roman"/>
              <w:sz w:val="24"/>
              <w:szCs w:val="24"/>
            </w:rPr>
            <w:t>the company</w:t>
          </w:r>
          <w:r w:rsidR="00DA5A9A">
            <w:rPr>
              <w:rFonts w:ascii="Times New Roman" w:hAnsi="Times New Roman" w:cs="Times New Roman"/>
              <w:sz w:val="24"/>
              <w:szCs w:val="24"/>
            </w:rPr>
            <w:t xml:space="preserve"> to generate</w:t>
          </w:r>
          <w:r w:rsidR="00866A55">
            <w:rPr>
              <w:rFonts w:ascii="Times New Roman" w:hAnsi="Times New Roman" w:cs="Times New Roman"/>
              <w:sz w:val="24"/>
              <w:szCs w:val="24"/>
            </w:rPr>
            <w:t xml:space="preserve"> earnings</w:t>
          </w:r>
          <w:r w:rsidR="00DA5A9A">
            <w:rPr>
              <w:rFonts w:ascii="Times New Roman" w:hAnsi="Times New Roman" w:cs="Times New Roman"/>
              <w:sz w:val="24"/>
              <w:szCs w:val="24"/>
            </w:rPr>
            <w:t xml:space="preserve"> in comparison to its expenses and other relevant costs</w:t>
          </w:r>
          <w:r w:rsidR="00866A55">
            <w:rPr>
              <w:rFonts w:ascii="Times New Roman" w:hAnsi="Times New Roman" w:cs="Times New Roman"/>
              <w:sz w:val="24"/>
              <w:szCs w:val="24"/>
            </w:rPr>
            <w:t>.</w:t>
          </w:r>
          <w:r w:rsidRPr="00215C1B">
            <w:rPr>
              <w:rFonts w:ascii="Times New Roman" w:hAnsi="Times New Roman" w:cs="Times New Roman"/>
              <w:sz w:val="24"/>
              <w:szCs w:val="24"/>
            </w:rPr>
            <w:t xml:space="preserve"> The ratios are mainly used </w:t>
          </w:r>
          <w:r w:rsidR="00503BA7" w:rsidRPr="00215C1B">
            <w:rPr>
              <w:rFonts w:ascii="Times New Roman" w:hAnsi="Times New Roman" w:cs="Times New Roman"/>
              <w:sz w:val="24"/>
              <w:szCs w:val="24"/>
            </w:rPr>
            <w:t xml:space="preserve">by </w:t>
          </w:r>
          <w:r w:rsidR="00503BA7">
            <w:rPr>
              <w:rFonts w:ascii="Times New Roman" w:hAnsi="Times New Roman" w:cs="Times New Roman"/>
              <w:sz w:val="24"/>
              <w:szCs w:val="24"/>
            </w:rPr>
            <w:t>management, investors</w:t>
          </w:r>
          <w:r>
            <w:rPr>
              <w:rFonts w:ascii="Times New Roman" w:hAnsi="Times New Roman" w:cs="Times New Roman"/>
              <w:sz w:val="24"/>
              <w:szCs w:val="24"/>
            </w:rPr>
            <w:t xml:space="preserve"> and </w:t>
          </w:r>
          <w:r w:rsidRPr="00215C1B">
            <w:rPr>
              <w:rFonts w:ascii="Times New Roman" w:hAnsi="Times New Roman" w:cs="Times New Roman"/>
              <w:sz w:val="24"/>
              <w:szCs w:val="24"/>
            </w:rPr>
            <w:t>cr</w:t>
          </w:r>
          <w:r>
            <w:rPr>
              <w:rFonts w:ascii="Times New Roman" w:hAnsi="Times New Roman" w:cs="Times New Roman"/>
              <w:sz w:val="24"/>
              <w:szCs w:val="24"/>
            </w:rPr>
            <w:t>editors</w:t>
          </w:r>
          <w:r w:rsidRPr="00215C1B">
            <w:rPr>
              <w:rFonts w:ascii="Times New Roman" w:hAnsi="Times New Roman" w:cs="Times New Roman"/>
              <w:sz w:val="24"/>
              <w:szCs w:val="24"/>
            </w:rPr>
            <w:t xml:space="preserve"> for making decisions.  </w:t>
          </w:r>
        </w:p>
        <w:p w:rsidR="0009368A" w:rsidRPr="00215C1B" w:rsidRDefault="0009368A" w:rsidP="004138AE">
          <w:pPr>
            <w:rPr>
              <w:rFonts w:ascii="Times New Roman" w:hAnsi="Times New Roman" w:cs="Times New Roman"/>
              <w:sz w:val="24"/>
              <w:szCs w:val="24"/>
            </w:rPr>
          </w:pPr>
        </w:p>
        <w:p w:rsidR="0009368A" w:rsidRPr="00215C1B" w:rsidRDefault="0009368A" w:rsidP="00875AF0">
          <w:pPr>
            <w:pStyle w:val="ListParagraph"/>
            <w:numPr>
              <w:ilvl w:val="0"/>
              <w:numId w:val="5"/>
            </w:numPr>
            <w:outlineLvl w:val="2"/>
            <w:rPr>
              <w:rFonts w:ascii="Times New Roman" w:hAnsi="Times New Roman" w:cs="Times New Roman"/>
              <w:b/>
              <w:sz w:val="24"/>
              <w:szCs w:val="24"/>
            </w:rPr>
          </w:pPr>
          <w:r w:rsidRPr="00215C1B">
            <w:rPr>
              <w:rFonts w:ascii="Times New Roman" w:hAnsi="Times New Roman" w:cs="Times New Roman"/>
              <w:b/>
              <w:sz w:val="24"/>
              <w:szCs w:val="24"/>
            </w:rPr>
            <w:t xml:space="preserve"> </w:t>
          </w:r>
          <w:bookmarkStart w:id="9" w:name="_Toc485128738"/>
          <w:r>
            <w:rPr>
              <w:rFonts w:ascii="Times New Roman" w:hAnsi="Times New Roman" w:cs="Times New Roman"/>
              <w:b/>
              <w:sz w:val="24"/>
              <w:szCs w:val="24"/>
            </w:rPr>
            <w:t>Profit M</w:t>
          </w:r>
          <w:r w:rsidRPr="00215C1B">
            <w:rPr>
              <w:rFonts w:ascii="Times New Roman" w:hAnsi="Times New Roman" w:cs="Times New Roman"/>
              <w:b/>
              <w:sz w:val="24"/>
              <w:szCs w:val="24"/>
            </w:rPr>
            <w:t>argin</w:t>
          </w:r>
          <w:bookmarkEnd w:id="9"/>
        </w:p>
        <w:p w:rsidR="0009368A" w:rsidRDefault="0009368A" w:rsidP="004138AE">
          <w:pPr>
            <w:rPr>
              <w:rFonts w:ascii="Times New Roman" w:hAnsi="Times New Roman" w:cs="Times New Roman"/>
              <w:sz w:val="24"/>
              <w:szCs w:val="24"/>
            </w:rPr>
          </w:pPr>
        </w:p>
        <w:p w:rsidR="0009368A" w:rsidRPr="00215C1B" w:rsidRDefault="0054029F" w:rsidP="004138AE">
          <w:pPr>
            <w:rPr>
              <w:rFonts w:ascii="Times New Roman" w:hAnsi="Times New Roman" w:cs="Times New Roman"/>
              <w:sz w:val="24"/>
              <w:szCs w:val="24"/>
            </w:rPr>
          </w:pPr>
          <w:r>
            <w:rPr>
              <w:rFonts w:ascii="Times New Roman" w:hAnsi="Times New Roman" w:cs="Times New Roman"/>
              <w:sz w:val="24"/>
              <w:szCs w:val="24"/>
            </w:rPr>
            <w:t xml:space="preserve">Profit Margin measures a firm’s ability to generate profit at a certain level of sales.  </w:t>
          </w:r>
          <w:r w:rsidR="0009368A" w:rsidRPr="00215C1B">
            <w:rPr>
              <w:rFonts w:ascii="Times New Roman" w:hAnsi="Times New Roman" w:cs="Times New Roman"/>
              <w:sz w:val="24"/>
              <w:szCs w:val="24"/>
            </w:rPr>
            <w:t>Companies strive to achieve</w:t>
          </w:r>
          <w:r w:rsidR="0009368A">
            <w:rPr>
              <w:rFonts w:ascii="Times New Roman" w:hAnsi="Times New Roman" w:cs="Times New Roman"/>
              <w:sz w:val="24"/>
              <w:szCs w:val="24"/>
            </w:rPr>
            <w:t xml:space="preserve"> </w:t>
          </w:r>
          <w:r w:rsidR="005920F1">
            <w:rPr>
              <w:rFonts w:ascii="Times New Roman" w:hAnsi="Times New Roman" w:cs="Times New Roman"/>
              <w:sz w:val="24"/>
              <w:szCs w:val="24"/>
            </w:rPr>
            <w:t>a higher</w:t>
          </w:r>
          <w:r w:rsidR="0009368A" w:rsidRPr="00215C1B">
            <w:rPr>
              <w:rFonts w:ascii="Times New Roman" w:hAnsi="Times New Roman" w:cs="Times New Roman"/>
              <w:sz w:val="24"/>
              <w:szCs w:val="24"/>
            </w:rPr>
            <w:t xml:space="preserve"> ratio over</w:t>
          </w:r>
          <w:r w:rsidR="005920F1">
            <w:rPr>
              <w:rFonts w:ascii="Times New Roman" w:hAnsi="Times New Roman" w:cs="Times New Roman"/>
              <w:sz w:val="24"/>
              <w:szCs w:val="24"/>
            </w:rPr>
            <w:t xml:space="preserve"> </w:t>
          </w:r>
          <w:r w:rsidR="0009368A" w:rsidRPr="00215C1B">
            <w:rPr>
              <w:rFonts w:ascii="Times New Roman" w:hAnsi="Times New Roman" w:cs="Times New Roman"/>
              <w:sz w:val="24"/>
              <w:szCs w:val="24"/>
            </w:rPr>
            <w:t xml:space="preserve">time by either generating more </w:t>
          </w:r>
          <w:r w:rsidR="0009368A">
            <w:rPr>
              <w:rFonts w:ascii="Times New Roman" w:hAnsi="Times New Roman" w:cs="Times New Roman"/>
              <w:sz w:val="24"/>
              <w:szCs w:val="24"/>
            </w:rPr>
            <w:t>rev</w:t>
          </w:r>
          <w:r w:rsidR="000A2A3B">
            <w:rPr>
              <w:rFonts w:ascii="Times New Roman" w:hAnsi="Times New Roman" w:cs="Times New Roman"/>
              <w:sz w:val="24"/>
              <w:szCs w:val="24"/>
            </w:rPr>
            <w:t>enue or keeping expenses low</w:t>
          </w:r>
          <w:r w:rsidR="00DA5A9A">
            <w:rPr>
              <w:rFonts w:ascii="Times New Roman" w:hAnsi="Times New Roman" w:cs="Times New Roman"/>
              <w:sz w:val="24"/>
              <w:szCs w:val="24"/>
            </w:rPr>
            <w:t>, or a combination of both</w:t>
          </w:r>
          <w:r w:rsidR="000A2A3B">
            <w:rPr>
              <w:rFonts w:ascii="Times New Roman" w:hAnsi="Times New Roman" w:cs="Times New Roman"/>
              <w:sz w:val="24"/>
              <w:szCs w:val="24"/>
            </w:rPr>
            <w:t>.</w:t>
          </w:r>
          <w:r w:rsidR="0009368A" w:rsidRPr="00215C1B">
            <w:rPr>
              <w:rFonts w:ascii="Times New Roman" w:hAnsi="Times New Roman" w:cs="Times New Roman"/>
              <w:sz w:val="24"/>
              <w:szCs w:val="24"/>
            </w:rPr>
            <w:t xml:space="preserve">  This indicator is calculated as:</w:t>
          </w:r>
        </w:p>
        <w:p w:rsidR="0009368A" w:rsidRPr="00215C1B" w:rsidRDefault="0009368A" w:rsidP="004138AE">
          <w:pPr>
            <w:rPr>
              <w:rFonts w:ascii="Times New Roman" w:hAnsi="Times New Roman" w:cs="Times New Roman"/>
              <w:sz w:val="24"/>
              <w:szCs w:val="24"/>
            </w:rPr>
          </w:pPr>
        </w:p>
        <w:p w:rsidR="0009368A" w:rsidRDefault="0009368A" w:rsidP="004138AE">
          <w:pPr>
            <w:rPr>
              <w:rFonts w:ascii="Times New Roman" w:hAnsi="Times New Roman" w:cs="Times New Roman"/>
              <w:sz w:val="24"/>
              <w:szCs w:val="24"/>
            </w:rPr>
          </w:pPr>
          <w:r w:rsidRPr="00215C1B">
            <w:rPr>
              <w:rFonts w:ascii="Times New Roman" w:hAnsi="Times New Roman" w:cs="Times New Roman"/>
              <w:sz w:val="24"/>
              <w:szCs w:val="24"/>
            </w:rPr>
            <w:t>Profit Margin = Net Profit/Sales</w:t>
          </w:r>
        </w:p>
        <w:p w:rsidR="00055B9E" w:rsidRDefault="00055B9E" w:rsidP="004138AE">
          <w:pPr>
            <w:rPr>
              <w:rFonts w:ascii="Times New Roman" w:hAnsi="Times New Roman" w:cs="Times New Roman"/>
              <w:sz w:val="24"/>
              <w:szCs w:val="24"/>
            </w:rPr>
          </w:pPr>
        </w:p>
        <w:p w:rsidR="000B4E86" w:rsidRDefault="000B4E86" w:rsidP="004138AE">
          <w:pPr>
            <w:rPr>
              <w:rFonts w:ascii="Times New Roman" w:hAnsi="Times New Roman" w:cs="Times New Roman"/>
              <w:sz w:val="24"/>
              <w:szCs w:val="24"/>
            </w:rPr>
          </w:pPr>
        </w:p>
        <w:p w:rsidR="00984F30" w:rsidRDefault="00984F30" w:rsidP="004138AE">
          <w:pPr>
            <w:rPr>
              <w:rFonts w:ascii="Times New Roman" w:hAnsi="Times New Roman" w:cs="Times New Roman"/>
              <w:b/>
              <w:sz w:val="24"/>
              <w:szCs w:val="24"/>
            </w:rPr>
          </w:pPr>
        </w:p>
        <w:p w:rsidR="00984F30" w:rsidRDefault="00984F30" w:rsidP="004138AE">
          <w:pPr>
            <w:rPr>
              <w:rFonts w:ascii="Times New Roman" w:hAnsi="Times New Roman" w:cs="Times New Roman"/>
              <w:b/>
              <w:sz w:val="24"/>
              <w:szCs w:val="24"/>
            </w:rPr>
          </w:pPr>
        </w:p>
        <w:p w:rsidR="00984F30" w:rsidRDefault="00984F30" w:rsidP="004138AE">
          <w:pPr>
            <w:rPr>
              <w:rFonts w:ascii="Times New Roman" w:hAnsi="Times New Roman" w:cs="Times New Roman"/>
              <w:b/>
              <w:sz w:val="24"/>
              <w:szCs w:val="24"/>
            </w:rPr>
          </w:pPr>
        </w:p>
        <w:p w:rsidR="00984F30" w:rsidRDefault="00984F30" w:rsidP="004138AE">
          <w:pPr>
            <w:rPr>
              <w:rFonts w:ascii="Times New Roman" w:hAnsi="Times New Roman" w:cs="Times New Roman"/>
              <w:b/>
              <w:sz w:val="24"/>
              <w:szCs w:val="24"/>
            </w:rPr>
          </w:pPr>
        </w:p>
        <w:p w:rsidR="00984F30" w:rsidRDefault="00984F30" w:rsidP="004138AE">
          <w:pPr>
            <w:rPr>
              <w:rFonts w:ascii="Times New Roman" w:hAnsi="Times New Roman" w:cs="Times New Roman"/>
              <w:b/>
              <w:sz w:val="24"/>
              <w:szCs w:val="24"/>
            </w:rPr>
          </w:pPr>
        </w:p>
        <w:p w:rsidR="00984F30" w:rsidRDefault="00984F30" w:rsidP="004138AE">
          <w:pPr>
            <w:rPr>
              <w:rFonts w:ascii="Times New Roman" w:hAnsi="Times New Roman" w:cs="Times New Roman"/>
              <w:b/>
              <w:sz w:val="24"/>
              <w:szCs w:val="24"/>
            </w:rPr>
          </w:pPr>
        </w:p>
        <w:p w:rsidR="00984F30" w:rsidRDefault="00984F30" w:rsidP="004138AE">
          <w:pPr>
            <w:rPr>
              <w:rFonts w:ascii="Times New Roman" w:hAnsi="Times New Roman" w:cs="Times New Roman"/>
              <w:b/>
              <w:sz w:val="24"/>
              <w:szCs w:val="24"/>
            </w:rPr>
          </w:pPr>
        </w:p>
        <w:p w:rsidR="00984F30" w:rsidRDefault="00984F30" w:rsidP="004138AE">
          <w:pPr>
            <w:rPr>
              <w:rFonts w:ascii="Times New Roman" w:hAnsi="Times New Roman" w:cs="Times New Roman"/>
              <w:b/>
              <w:sz w:val="24"/>
              <w:szCs w:val="24"/>
            </w:rPr>
          </w:pPr>
        </w:p>
        <w:p w:rsidR="00984F30" w:rsidRDefault="00984F30" w:rsidP="004138AE">
          <w:pPr>
            <w:rPr>
              <w:rFonts w:ascii="Times New Roman" w:hAnsi="Times New Roman" w:cs="Times New Roman"/>
              <w:b/>
              <w:sz w:val="24"/>
              <w:szCs w:val="24"/>
            </w:rPr>
          </w:pPr>
        </w:p>
        <w:p w:rsidR="000B4E86" w:rsidRPr="000F6875" w:rsidRDefault="000F6875" w:rsidP="004138AE">
          <w:pPr>
            <w:rPr>
              <w:rFonts w:ascii="Times New Roman" w:hAnsi="Times New Roman" w:cs="Times New Roman"/>
              <w:b/>
              <w:sz w:val="24"/>
              <w:szCs w:val="24"/>
            </w:rPr>
          </w:pPr>
          <w:r w:rsidRPr="000F6875">
            <w:rPr>
              <w:rFonts w:ascii="Times New Roman" w:hAnsi="Times New Roman" w:cs="Times New Roman"/>
              <w:b/>
              <w:sz w:val="24"/>
              <w:szCs w:val="24"/>
            </w:rPr>
            <w:t xml:space="preserve">Table 1- Profit Margin </w:t>
          </w:r>
          <w:r w:rsidR="00587A5E">
            <w:rPr>
              <w:rFonts w:ascii="Times New Roman" w:hAnsi="Times New Roman" w:cs="Times New Roman"/>
              <w:b/>
              <w:sz w:val="24"/>
              <w:szCs w:val="24"/>
            </w:rPr>
            <w:t>2012 -2016</w:t>
          </w:r>
        </w:p>
        <w:tbl>
          <w:tblPr>
            <w:tblW w:w="8300" w:type="dxa"/>
            <w:tblInd w:w="918" w:type="dxa"/>
            <w:tblLook w:val="04A0"/>
          </w:tblPr>
          <w:tblGrid>
            <w:gridCol w:w="990"/>
            <w:gridCol w:w="923"/>
            <w:gridCol w:w="157"/>
            <w:gridCol w:w="983"/>
            <w:gridCol w:w="187"/>
            <w:gridCol w:w="1093"/>
            <w:gridCol w:w="167"/>
            <w:gridCol w:w="1060"/>
            <w:gridCol w:w="740"/>
            <w:gridCol w:w="1691"/>
            <w:gridCol w:w="309"/>
          </w:tblGrid>
          <w:tr w:rsidR="000B4E86" w:rsidRPr="000B4E86" w:rsidTr="00F4012A">
            <w:trPr>
              <w:trHeight w:val="300"/>
            </w:trPr>
            <w:tc>
              <w:tcPr>
                <w:tcW w:w="990"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c>
              <w:tcPr>
                <w:tcW w:w="923"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c>
              <w:tcPr>
                <w:tcW w:w="1140" w:type="dxa"/>
                <w:gridSpan w:val="2"/>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c>
              <w:tcPr>
                <w:tcW w:w="1280" w:type="dxa"/>
                <w:gridSpan w:val="2"/>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c>
              <w:tcPr>
                <w:tcW w:w="1227" w:type="dxa"/>
                <w:gridSpan w:val="2"/>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c>
              <w:tcPr>
                <w:tcW w:w="2431" w:type="dxa"/>
                <w:gridSpan w:val="2"/>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c>
              <w:tcPr>
                <w:tcW w:w="309"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r>
          <w:tr w:rsidR="000B4E86" w:rsidRPr="000B4E86" w:rsidTr="00F4012A">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E86" w:rsidRPr="0010350D" w:rsidRDefault="000B4E86" w:rsidP="004138AE">
                <w:pPr>
                  <w:rPr>
                    <w:rFonts w:ascii="Calibri" w:eastAsia="Times New Roman" w:hAnsi="Calibri" w:cs="Times New Roman"/>
                    <w:b/>
                    <w:bCs/>
                    <w:color w:val="000000" w:themeColor="text1"/>
                  </w:rPr>
                </w:pPr>
                <w:r w:rsidRPr="0010350D">
                  <w:rPr>
                    <w:rFonts w:ascii="Calibri" w:eastAsia="Times New Roman" w:hAnsi="Calibri" w:cs="Times New Roman"/>
                    <w:b/>
                    <w:bCs/>
                    <w:color w:val="000000" w:themeColor="text1"/>
                  </w:rPr>
                  <w:t> </w:t>
                </w:r>
              </w:p>
            </w:tc>
            <w:tc>
              <w:tcPr>
                <w:tcW w:w="7001" w:type="dxa"/>
                <w:gridSpan w:val="9"/>
                <w:tcBorders>
                  <w:top w:val="single" w:sz="4" w:space="0" w:color="auto"/>
                  <w:left w:val="nil"/>
                  <w:bottom w:val="single" w:sz="4" w:space="0" w:color="auto"/>
                  <w:right w:val="single" w:sz="4" w:space="0" w:color="auto"/>
                </w:tcBorders>
                <w:shd w:val="clear" w:color="auto" w:fill="auto"/>
                <w:noWrap/>
                <w:vAlign w:val="bottom"/>
                <w:hideMark/>
              </w:tcPr>
              <w:p w:rsidR="000B4E86" w:rsidRPr="0010350D" w:rsidRDefault="000B4E86" w:rsidP="006346FC">
                <w:pPr>
                  <w:jc w:val="center"/>
                  <w:rPr>
                    <w:rFonts w:ascii="Calibri" w:eastAsia="Times New Roman" w:hAnsi="Calibri" w:cs="Times New Roman"/>
                    <w:b/>
                    <w:bCs/>
                    <w:color w:val="000000" w:themeColor="text1"/>
                  </w:rPr>
                </w:pPr>
                <w:r w:rsidRPr="0010350D">
                  <w:rPr>
                    <w:rFonts w:ascii="Calibri" w:eastAsia="Times New Roman" w:hAnsi="Calibri" w:cs="Times New Roman"/>
                    <w:b/>
                    <w:bCs/>
                    <w:color w:val="000000" w:themeColor="text1"/>
                  </w:rPr>
                  <w:t>PROFIT MARGIN</w:t>
                </w:r>
                <w:r w:rsidR="000F6875" w:rsidRPr="0010350D">
                  <w:rPr>
                    <w:rFonts w:ascii="Calibri" w:eastAsia="Times New Roman" w:hAnsi="Calibri" w:cs="Times New Roman"/>
                    <w:b/>
                    <w:bCs/>
                    <w:color w:val="000000" w:themeColor="text1"/>
                  </w:rPr>
                  <w:t xml:space="preserve"> </w:t>
                </w:r>
                <w:r w:rsidR="006346FC">
                  <w:rPr>
                    <w:rFonts w:ascii="Calibri" w:eastAsia="Times New Roman" w:hAnsi="Calibri" w:cs="Times New Roman"/>
                    <w:b/>
                    <w:bCs/>
                    <w:color w:val="000000" w:themeColor="text1"/>
                  </w:rPr>
                  <w:t xml:space="preserve"> %</w:t>
                </w:r>
              </w:p>
            </w:tc>
            <w:tc>
              <w:tcPr>
                <w:tcW w:w="309"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r>
          <w:tr w:rsidR="000B4E86" w:rsidRPr="000B4E86" w:rsidTr="00F4012A">
            <w:trPr>
              <w:trHeight w:val="105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b/>
                    <w:bCs/>
                    <w:color w:val="000000"/>
                  </w:rPr>
                </w:pPr>
                <w:r w:rsidRPr="000B4E86">
                  <w:rPr>
                    <w:rFonts w:ascii="Calibri" w:eastAsia="Times New Roman" w:hAnsi="Calibri" w:cs="Times New Roman"/>
                    <w:b/>
                    <w:bCs/>
                    <w:color w:val="000000"/>
                  </w:rPr>
                  <w:t>Years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b/>
                    <w:bCs/>
                    <w:color w:val="000000"/>
                  </w:rPr>
                </w:pPr>
                <w:r w:rsidRPr="000B4E86">
                  <w:rPr>
                    <w:rFonts w:ascii="Calibri" w:eastAsia="Times New Roman" w:hAnsi="Calibri" w:cs="Times New Roman"/>
                    <w:b/>
                    <w:bCs/>
                    <w:color w:val="000000"/>
                  </w:rPr>
                  <w:t>DOMLEC</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b/>
                    <w:bCs/>
                    <w:color w:val="000000"/>
                  </w:rPr>
                </w:pPr>
                <w:r w:rsidRPr="000B4E86">
                  <w:rPr>
                    <w:rFonts w:ascii="Calibri" w:eastAsia="Times New Roman" w:hAnsi="Calibri" w:cs="Times New Roman"/>
                    <w:b/>
                    <w:bCs/>
                    <w:color w:val="000000"/>
                  </w:rPr>
                  <w:t>LUCELEC</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b/>
                    <w:bCs/>
                    <w:color w:val="000000"/>
                  </w:rPr>
                </w:pPr>
                <w:r w:rsidRPr="000B4E86">
                  <w:rPr>
                    <w:rFonts w:ascii="Calibri" w:eastAsia="Times New Roman" w:hAnsi="Calibri" w:cs="Times New Roman"/>
                    <w:b/>
                    <w:bCs/>
                    <w:color w:val="000000"/>
                  </w:rPr>
                  <w:t xml:space="preserve"> GRENLEC</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2374BD" w:rsidP="004138AE">
                <w:pPr>
                  <w:rPr>
                    <w:rFonts w:ascii="Calibri" w:eastAsia="Times New Roman" w:hAnsi="Calibri" w:cs="Times New Roman"/>
                    <w:b/>
                    <w:bCs/>
                    <w:color w:val="000000"/>
                  </w:rPr>
                </w:pPr>
                <w:r>
                  <w:rPr>
                    <w:rFonts w:ascii="Calibri" w:eastAsia="Times New Roman" w:hAnsi="Calibri" w:cs="Times New Roman"/>
                    <w:b/>
                    <w:bCs/>
                    <w:color w:val="000000"/>
                  </w:rPr>
                  <w:t>Caribbean Electricity Utility Regional  Average -CARILEC</w:t>
                </w:r>
              </w:p>
            </w:tc>
            <w:tc>
              <w:tcPr>
                <w:tcW w:w="1691" w:type="dxa"/>
                <w:tcBorders>
                  <w:top w:val="nil"/>
                  <w:left w:val="nil"/>
                  <w:bottom w:val="single" w:sz="4" w:space="0" w:color="auto"/>
                  <w:right w:val="single" w:sz="4" w:space="0" w:color="auto"/>
                </w:tcBorders>
                <w:shd w:val="clear" w:color="auto" w:fill="auto"/>
                <w:vAlign w:val="bottom"/>
                <w:hideMark/>
              </w:tcPr>
              <w:p w:rsidR="000B4E86" w:rsidRPr="000B4E86" w:rsidRDefault="000B4E86" w:rsidP="004138AE">
                <w:pPr>
                  <w:rPr>
                    <w:rFonts w:ascii="Calibri" w:eastAsia="Times New Roman" w:hAnsi="Calibri" w:cs="Times New Roman"/>
                    <w:b/>
                    <w:bCs/>
                    <w:color w:val="000000"/>
                  </w:rPr>
                </w:pPr>
                <w:r w:rsidRPr="000B4E86">
                  <w:rPr>
                    <w:rFonts w:ascii="Calibri" w:eastAsia="Times New Roman" w:hAnsi="Calibri" w:cs="Times New Roman"/>
                    <w:b/>
                    <w:bCs/>
                    <w:color w:val="000000"/>
                  </w:rPr>
                  <w:t>US investors Owned Electric Utility Industry</w:t>
                </w:r>
                <w:r>
                  <w:rPr>
                    <w:rFonts w:ascii="Calibri" w:eastAsia="Times New Roman" w:hAnsi="Calibri" w:cs="Times New Roman"/>
                    <w:b/>
                    <w:bCs/>
                    <w:color w:val="000000"/>
                  </w:rPr>
                  <w:t xml:space="preserve"> (Edison Electric Institute)</w:t>
                </w:r>
              </w:p>
            </w:tc>
            <w:tc>
              <w:tcPr>
                <w:tcW w:w="309"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r>
          <w:tr w:rsidR="000B4E86" w:rsidRPr="000B4E86" w:rsidTr="00F4012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 </w:t>
                </w:r>
              </w:p>
            </w:tc>
            <w:tc>
              <w:tcPr>
                <w:tcW w:w="1691" w:type="dxa"/>
                <w:tcBorders>
                  <w:top w:val="nil"/>
                  <w:left w:val="nil"/>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 </w:t>
                </w:r>
              </w:p>
            </w:tc>
            <w:tc>
              <w:tcPr>
                <w:tcW w:w="309"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r>
          <w:tr w:rsidR="000B4E86" w:rsidRPr="000B4E86" w:rsidTr="00F4012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2012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8408A2">
                <w:pPr>
                  <w:jc w:val="center"/>
                  <w:rPr>
                    <w:rFonts w:ascii="Calibri" w:eastAsia="Times New Roman" w:hAnsi="Calibri" w:cs="Times New Roman"/>
                    <w:color w:val="000000"/>
                  </w:rPr>
                </w:pPr>
                <w:r w:rsidRPr="000B4E86">
                  <w:rPr>
                    <w:rFonts w:ascii="Calibri" w:eastAsia="Times New Roman" w:hAnsi="Calibri" w:cs="Times New Roman"/>
                    <w:color w:val="000000"/>
                  </w:rPr>
                  <w:t>7.6</w:t>
                </w:r>
                <w:r w:rsidR="00DA5A9A">
                  <w:rPr>
                    <w:rFonts w:ascii="Calibri" w:eastAsia="Times New Roman" w:hAnsi="Calibri" w:cs="Times New Roman"/>
                    <w:color w:val="000000"/>
                  </w:rPr>
                  <w:t>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346FC" w:rsidP="008408A2">
                <w:pPr>
                  <w:jc w:val="center"/>
                  <w:rPr>
                    <w:rFonts w:ascii="Calibri" w:eastAsia="Times New Roman" w:hAnsi="Calibri" w:cs="Times New Roman"/>
                    <w:color w:val="000000"/>
                  </w:rPr>
                </w:pPr>
                <w:r>
                  <w:rPr>
                    <w:rFonts w:ascii="Calibri" w:eastAsia="Times New Roman" w:hAnsi="Calibri" w:cs="Times New Roman"/>
                    <w:color w:val="000000"/>
                  </w:rPr>
                  <w:t>8.62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8408A2" w:rsidP="008408A2">
                <w:pPr>
                  <w:jc w:val="center"/>
                  <w:rPr>
                    <w:rFonts w:ascii="Calibri" w:eastAsia="Times New Roman" w:hAnsi="Calibri" w:cs="Times New Roman"/>
                    <w:color w:val="000000"/>
                  </w:rPr>
                </w:pPr>
                <w:r>
                  <w:rPr>
                    <w:rFonts w:ascii="Calibri" w:eastAsia="Times New Roman" w:hAnsi="Calibri" w:cs="Times New Roman"/>
                    <w:color w:val="000000"/>
                  </w:rPr>
                  <w:t>7.35</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7D6604" w:rsidP="008408A2">
                <w:pPr>
                  <w:jc w:val="center"/>
                  <w:rPr>
                    <w:rFonts w:ascii="Calibri" w:eastAsia="Times New Roman" w:hAnsi="Calibri" w:cs="Times New Roman"/>
                    <w:color w:val="000000"/>
                  </w:rPr>
                </w:pPr>
                <w:r>
                  <w:rPr>
                    <w:rFonts w:ascii="Calibri" w:eastAsia="Times New Roman" w:hAnsi="Calibri" w:cs="Times New Roman"/>
                    <w:color w:val="000000"/>
                  </w:rPr>
                  <w:t>8.4</w:t>
                </w:r>
                <w:r w:rsidR="008408A2">
                  <w:rPr>
                    <w:rFonts w:ascii="Calibri" w:eastAsia="Times New Roman" w:hAnsi="Calibri" w:cs="Times New Roman"/>
                    <w:color w:val="000000"/>
                  </w:rPr>
                  <w:t>0</w:t>
                </w:r>
              </w:p>
            </w:tc>
            <w:tc>
              <w:tcPr>
                <w:tcW w:w="1691" w:type="dxa"/>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309"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r>
          <w:tr w:rsidR="000B4E86" w:rsidRPr="000B4E86" w:rsidTr="00F4012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2013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8408A2">
                <w:pPr>
                  <w:jc w:val="center"/>
                  <w:rPr>
                    <w:rFonts w:ascii="Calibri" w:eastAsia="Times New Roman" w:hAnsi="Calibri" w:cs="Times New Roman"/>
                    <w:color w:val="000000"/>
                  </w:rPr>
                </w:pPr>
                <w:r w:rsidRPr="000B4E86">
                  <w:rPr>
                    <w:rFonts w:ascii="Calibri" w:eastAsia="Times New Roman" w:hAnsi="Calibri" w:cs="Times New Roman"/>
                    <w:color w:val="000000"/>
                  </w:rPr>
                  <w:t>8.94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346FC" w:rsidP="008408A2">
                <w:pPr>
                  <w:jc w:val="center"/>
                  <w:rPr>
                    <w:rFonts w:ascii="Calibri" w:eastAsia="Times New Roman" w:hAnsi="Calibri" w:cs="Times New Roman"/>
                    <w:color w:val="000000"/>
                  </w:rPr>
                </w:pPr>
                <w:r>
                  <w:rPr>
                    <w:rFonts w:ascii="Calibri" w:eastAsia="Times New Roman" w:hAnsi="Calibri" w:cs="Times New Roman"/>
                    <w:color w:val="000000"/>
                  </w:rPr>
                  <w:t>7.34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8408A2" w:rsidP="008408A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8408A2" w:rsidP="008408A2">
                <w:pPr>
                  <w:jc w:val="center"/>
                  <w:rPr>
                    <w:rFonts w:ascii="Calibri" w:eastAsia="Times New Roman" w:hAnsi="Calibri" w:cs="Times New Roman"/>
                    <w:color w:val="000000"/>
                  </w:rPr>
                </w:pPr>
                <w:r>
                  <w:rPr>
                    <w:rFonts w:ascii="Calibri" w:eastAsia="Times New Roman" w:hAnsi="Calibri" w:cs="Times New Roman"/>
                    <w:color w:val="000000"/>
                  </w:rPr>
                  <w:t>9.30</w:t>
                </w:r>
              </w:p>
            </w:tc>
            <w:tc>
              <w:tcPr>
                <w:tcW w:w="1691" w:type="dxa"/>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309"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r>
          <w:tr w:rsidR="000B4E86" w:rsidRPr="000B4E86" w:rsidTr="00F4012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2014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0B4E86" w:rsidP="008408A2">
                <w:pPr>
                  <w:jc w:val="center"/>
                  <w:rPr>
                    <w:rFonts w:ascii="Calibri" w:eastAsia="Times New Roman" w:hAnsi="Calibri" w:cs="Times New Roman"/>
                    <w:color w:val="000000"/>
                  </w:rPr>
                </w:pPr>
                <w:r w:rsidRPr="000B4E86">
                  <w:rPr>
                    <w:rFonts w:ascii="Calibri" w:eastAsia="Times New Roman" w:hAnsi="Calibri" w:cs="Times New Roman"/>
                    <w:color w:val="000000"/>
                  </w:rPr>
                  <w:t>14.5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346FC" w:rsidP="008408A2">
                <w:pPr>
                  <w:jc w:val="center"/>
                  <w:rPr>
                    <w:rFonts w:ascii="Calibri" w:eastAsia="Times New Roman" w:hAnsi="Calibri" w:cs="Times New Roman"/>
                    <w:color w:val="000000"/>
                  </w:rPr>
                </w:pPr>
                <w:r>
                  <w:rPr>
                    <w:rFonts w:ascii="Calibri" w:eastAsia="Times New Roman" w:hAnsi="Calibri" w:cs="Times New Roman"/>
                    <w:color w:val="000000"/>
                  </w:rPr>
                  <w:t>8.68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8408A2" w:rsidP="008408A2">
                <w:pPr>
                  <w:jc w:val="center"/>
                  <w:rPr>
                    <w:rFonts w:ascii="Calibri" w:eastAsia="Times New Roman" w:hAnsi="Calibri" w:cs="Times New Roman"/>
                    <w:color w:val="000000"/>
                  </w:rPr>
                </w:pPr>
                <w:r>
                  <w:rPr>
                    <w:rFonts w:ascii="Calibri" w:eastAsia="Times New Roman" w:hAnsi="Calibri" w:cs="Times New Roman"/>
                    <w:color w:val="000000"/>
                  </w:rPr>
                  <w:t>10.13</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691" w:type="dxa"/>
                <w:tcBorders>
                  <w:top w:val="nil"/>
                  <w:left w:val="nil"/>
                  <w:bottom w:val="single" w:sz="4" w:space="0" w:color="auto"/>
                  <w:right w:val="single" w:sz="4" w:space="0" w:color="auto"/>
                </w:tcBorders>
                <w:shd w:val="clear" w:color="auto" w:fill="auto"/>
                <w:noWrap/>
                <w:vAlign w:val="bottom"/>
                <w:hideMark/>
              </w:tcPr>
              <w:p w:rsidR="000B4E86" w:rsidRPr="000B4E86" w:rsidRDefault="008408A2" w:rsidP="008408A2">
                <w:pPr>
                  <w:jc w:val="center"/>
                  <w:rPr>
                    <w:rFonts w:ascii="Calibri" w:eastAsia="Times New Roman" w:hAnsi="Calibri" w:cs="Times New Roman"/>
                    <w:color w:val="000000"/>
                  </w:rPr>
                </w:pPr>
                <w:r>
                  <w:rPr>
                    <w:rFonts w:ascii="Calibri" w:eastAsia="Times New Roman" w:hAnsi="Calibri" w:cs="Times New Roman"/>
                    <w:color w:val="000000"/>
                  </w:rPr>
                  <w:t>7.49</w:t>
                </w:r>
              </w:p>
            </w:tc>
            <w:tc>
              <w:tcPr>
                <w:tcW w:w="309"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r>
          <w:tr w:rsidR="000B4E86" w:rsidRPr="000B4E86" w:rsidTr="00F4012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2015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346FC" w:rsidP="008408A2">
                <w:pPr>
                  <w:jc w:val="center"/>
                  <w:rPr>
                    <w:rFonts w:ascii="Calibri" w:eastAsia="Times New Roman" w:hAnsi="Calibri" w:cs="Times New Roman"/>
                    <w:color w:val="000000"/>
                  </w:rPr>
                </w:pPr>
                <w:r>
                  <w:rPr>
                    <w:rFonts w:ascii="Calibri" w:eastAsia="Times New Roman" w:hAnsi="Calibri" w:cs="Times New Roman"/>
                    <w:color w:val="000000"/>
                  </w:rPr>
                  <w:t>13.1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346FC" w:rsidP="008408A2">
                <w:pPr>
                  <w:jc w:val="center"/>
                  <w:rPr>
                    <w:rFonts w:ascii="Calibri" w:eastAsia="Times New Roman" w:hAnsi="Calibri" w:cs="Times New Roman"/>
                    <w:color w:val="000000"/>
                  </w:rPr>
                </w:pPr>
                <w:r>
                  <w:rPr>
                    <w:rFonts w:ascii="Calibri" w:eastAsia="Times New Roman" w:hAnsi="Calibri" w:cs="Times New Roman"/>
                    <w:color w:val="000000"/>
                  </w:rPr>
                  <w:t>12.04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8408A2" w:rsidP="008408A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691" w:type="dxa"/>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309" w:type="dxa"/>
                <w:tcBorders>
                  <w:top w:val="nil"/>
                  <w:left w:val="nil"/>
                  <w:bottom w:val="nil"/>
                  <w:right w:val="nil"/>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p>
            </w:tc>
          </w:tr>
          <w:tr w:rsidR="000B4E86" w:rsidRPr="000B4E86" w:rsidTr="00F4012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B4E86" w:rsidRPr="000B4E86" w:rsidRDefault="000B4E86" w:rsidP="004138AE">
                <w:pPr>
                  <w:rPr>
                    <w:rFonts w:ascii="Calibri" w:eastAsia="Times New Roman" w:hAnsi="Calibri" w:cs="Times New Roman"/>
                    <w:color w:val="000000"/>
                  </w:rPr>
                </w:pPr>
                <w:r w:rsidRPr="000B4E86">
                  <w:rPr>
                    <w:rFonts w:ascii="Calibri" w:eastAsia="Times New Roman" w:hAnsi="Calibri" w:cs="Times New Roman"/>
                    <w:color w:val="000000"/>
                  </w:rPr>
                  <w:t>2016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346FC" w:rsidP="008408A2">
                <w:pPr>
                  <w:jc w:val="center"/>
                  <w:rPr>
                    <w:rFonts w:ascii="Calibri" w:eastAsia="Times New Roman" w:hAnsi="Calibri" w:cs="Times New Roman"/>
                    <w:color w:val="000000"/>
                  </w:rPr>
                </w:pPr>
                <w:r>
                  <w:rPr>
                    <w:rFonts w:ascii="Calibri" w:eastAsia="Times New Roman" w:hAnsi="Calibri" w:cs="Times New Roman"/>
                    <w:color w:val="000000"/>
                  </w:rPr>
                  <w:t>14.48</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691" w:type="dxa"/>
                <w:tcBorders>
                  <w:top w:val="nil"/>
                  <w:left w:val="nil"/>
                  <w:bottom w:val="single" w:sz="4" w:space="0" w:color="auto"/>
                  <w:right w:val="single" w:sz="4" w:space="0" w:color="auto"/>
                </w:tcBorders>
                <w:shd w:val="clear" w:color="auto" w:fill="auto"/>
                <w:noWrap/>
                <w:vAlign w:val="bottom"/>
                <w:hideMark/>
              </w:tcPr>
              <w:p w:rsidR="000B4E86" w:rsidRPr="000B4E86" w:rsidRDefault="00603ECF" w:rsidP="008408A2">
                <w:pPr>
                  <w:jc w:val="center"/>
                  <w:rPr>
                    <w:rFonts w:ascii="Calibri" w:eastAsia="Times New Roman" w:hAnsi="Calibri" w:cs="Times New Roman"/>
                    <w:color w:val="000000"/>
                  </w:rPr>
                </w:pPr>
                <w:r>
                  <w:rPr>
                    <w:rFonts w:ascii="Calibri" w:eastAsia="Times New Roman" w:hAnsi="Calibri" w:cs="Times New Roman"/>
                    <w:color w:val="000000"/>
                  </w:rPr>
                  <w:t>NA</w:t>
                </w:r>
              </w:p>
            </w:tc>
            <w:tc>
              <w:tcPr>
                <w:tcW w:w="309" w:type="dxa"/>
                <w:tcBorders>
                  <w:top w:val="nil"/>
                  <w:left w:val="nil"/>
                  <w:bottom w:val="nil"/>
                  <w:right w:val="nil"/>
                </w:tcBorders>
                <w:shd w:val="clear" w:color="auto" w:fill="auto"/>
                <w:noWrap/>
                <w:vAlign w:val="bottom"/>
                <w:hideMark/>
              </w:tcPr>
              <w:p w:rsidR="000B4E86" w:rsidRDefault="000B4E86" w:rsidP="004138AE">
                <w:pPr>
                  <w:rPr>
                    <w:rFonts w:ascii="Calibri" w:eastAsia="Times New Roman" w:hAnsi="Calibri" w:cs="Times New Roman"/>
                    <w:color w:val="000000"/>
                  </w:rPr>
                </w:pPr>
              </w:p>
              <w:p w:rsidR="00EB0ABD" w:rsidRPr="000B4E86" w:rsidRDefault="00EB0ABD" w:rsidP="004138AE">
                <w:pPr>
                  <w:rPr>
                    <w:rFonts w:ascii="Calibri" w:eastAsia="Times New Roman" w:hAnsi="Calibri" w:cs="Times New Roman"/>
                    <w:color w:val="000000"/>
                  </w:rPr>
                </w:pPr>
              </w:p>
            </w:tc>
          </w:tr>
        </w:tbl>
        <w:p w:rsidR="008408A2" w:rsidRDefault="008408A2" w:rsidP="004138AE">
          <w:pPr>
            <w:rPr>
              <w:rFonts w:ascii="Times New Roman" w:hAnsi="Times New Roman" w:cs="Times New Roman"/>
              <w:i/>
              <w:sz w:val="20"/>
              <w:szCs w:val="20"/>
            </w:rPr>
          </w:pPr>
        </w:p>
        <w:p w:rsidR="009D0BFE" w:rsidRPr="009D0BFE" w:rsidRDefault="009D0BFE" w:rsidP="004138AE">
          <w:pPr>
            <w:rPr>
              <w:rFonts w:ascii="Times New Roman" w:hAnsi="Times New Roman" w:cs="Times New Roman"/>
              <w:sz w:val="20"/>
              <w:szCs w:val="20"/>
            </w:rPr>
          </w:pPr>
          <w:r w:rsidRPr="009D0BFE">
            <w:rPr>
              <w:rFonts w:ascii="Times New Roman" w:hAnsi="Times New Roman" w:cs="Times New Roman"/>
              <w:i/>
              <w:sz w:val="20"/>
              <w:szCs w:val="20"/>
            </w:rPr>
            <w:t>Source</w:t>
          </w:r>
          <w:r>
            <w:rPr>
              <w:rStyle w:val="FootnoteReference"/>
              <w:rFonts w:ascii="Times New Roman" w:hAnsi="Times New Roman" w:cs="Times New Roman"/>
              <w:i/>
              <w:sz w:val="20"/>
              <w:szCs w:val="20"/>
            </w:rPr>
            <w:footnoteReference w:id="4"/>
          </w:r>
        </w:p>
        <w:p w:rsidR="009D0BFE" w:rsidRDefault="009D0BFE" w:rsidP="004138AE">
          <w:pPr>
            <w:pStyle w:val="NoSpacing"/>
            <w:tabs>
              <w:tab w:val="left" w:pos="1320"/>
            </w:tabs>
            <w:jc w:val="both"/>
            <w:rPr>
              <w:rFonts w:ascii="Times New Roman" w:hAnsi="Times New Roman" w:cs="Times New Roman"/>
              <w:sz w:val="24"/>
              <w:szCs w:val="24"/>
            </w:rPr>
          </w:pPr>
        </w:p>
        <w:p w:rsidR="00FE3A36" w:rsidRDefault="006E1971" w:rsidP="004138AE">
          <w:pPr>
            <w:pStyle w:val="NoSpacing"/>
            <w:tabs>
              <w:tab w:val="left" w:pos="1320"/>
            </w:tabs>
            <w:jc w:val="both"/>
            <w:rPr>
              <w:rFonts w:ascii="Times New Roman" w:hAnsi="Times New Roman" w:cs="Times New Roman"/>
              <w:sz w:val="24"/>
              <w:szCs w:val="24"/>
            </w:rPr>
          </w:pPr>
          <w:r>
            <w:rPr>
              <w:rFonts w:ascii="Times New Roman" w:hAnsi="Times New Roman" w:cs="Times New Roman"/>
              <w:sz w:val="24"/>
              <w:szCs w:val="24"/>
            </w:rPr>
            <w:t xml:space="preserve">From the statistics presented in table 1, it can be seen that DOMLEC’s profit margin increased at a satisfactory level from 2012 </w:t>
          </w:r>
          <w:r w:rsidR="00DB0BD0">
            <w:rPr>
              <w:rFonts w:ascii="Times New Roman" w:hAnsi="Times New Roman" w:cs="Times New Roman"/>
              <w:sz w:val="24"/>
              <w:szCs w:val="24"/>
            </w:rPr>
            <w:t xml:space="preserve">to 2016.   The company realized </w:t>
          </w:r>
          <w:r w:rsidR="005A43D2">
            <w:rPr>
              <w:rFonts w:ascii="Times New Roman" w:hAnsi="Times New Roman" w:cs="Times New Roman"/>
              <w:sz w:val="24"/>
              <w:szCs w:val="24"/>
            </w:rPr>
            <w:t xml:space="preserve">a compounded growth of </w:t>
          </w:r>
          <w:r w:rsidR="00DB0BD0">
            <w:rPr>
              <w:rFonts w:ascii="Times New Roman" w:hAnsi="Times New Roman" w:cs="Times New Roman"/>
              <w:sz w:val="24"/>
              <w:szCs w:val="24"/>
            </w:rPr>
            <w:t>80</w:t>
          </w:r>
          <w:r w:rsidR="00823CCE">
            <w:rPr>
              <w:rFonts w:ascii="Times New Roman" w:hAnsi="Times New Roman" w:cs="Times New Roman"/>
              <w:sz w:val="24"/>
              <w:szCs w:val="24"/>
            </w:rPr>
            <w:t>%</w:t>
          </w:r>
          <w:r>
            <w:rPr>
              <w:rFonts w:ascii="Times New Roman" w:hAnsi="Times New Roman" w:cs="Times New Roman"/>
              <w:sz w:val="24"/>
              <w:szCs w:val="24"/>
            </w:rPr>
            <w:t xml:space="preserve"> over the </w:t>
          </w:r>
          <w:r w:rsidR="00AB3BA4">
            <w:rPr>
              <w:rFonts w:ascii="Times New Roman" w:hAnsi="Times New Roman" w:cs="Times New Roman"/>
              <w:sz w:val="24"/>
              <w:szCs w:val="24"/>
            </w:rPr>
            <w:t xml:space="preserve">five year period.  </w:t>
          </w:r>
          <w:r w:rsidR="00266452">
            <w:rPr>
              <w:rFonts w:ascii="Times New Roman" w:hAnsi="Times New Roman" w:cs="Times New Roman"/>
              <w:sz w:val="24"/>
              <w:szCs w:val="24"/>
            </w:rPr>
            <w:t>From 2014</w:t>
          </w:r>
          <w:r w:rsidR="00DB0BD0">
            <w:rPr>
              <w:rFonts w:ascii="Times New Roman" w:hAnsi="Times New Roman" w:cs="Times New Roman"/>
              <w:sz w:val="24"/>
              <w:szCs w:val="24"/>
            </w:rPr>
            <w:t xml:space="preserve"> to 2016, </w:t>
          </w:r>
          <w:r w:rsidR="00266452">
            <w:rPr>
              <w:rFonts w:ascii="Times New Roman" w:hAnsi="Times New Roman" w:cs="Times New Roman"/>
              <w:sz w:val="24"/>
              <w:szCs w:val="24"/>
            </w:rPr>
            <w:t xml:space="preserve"> </w:t>
          </w:r>
          <w:r w:rsidR="00AB3BA4">
            <w:rPr>
              <w:rFonts w:ascii="Times New Roman" w:hAnsi="Times New Roman" w:cs="Times New Roman"/>
              <w:sz w:val="24"/>
              <w:szCs w:val="24"/>
            </w:rPr>
            <w:t xml:space="preserve"> DOMLEC’s profit margin remained within the acceptable limit between 10</w:t>
          </w:r>
          <w:r w:rsidR="007D6604">
            <w:rPr>
              <w:rFonts w:ascii="Times New Roman" w:hAnsi="Times New Roman" w:cs="Times New Roman"/>
              <w:sz w:val="24"/>
              <w:szCs w:val="24"/>
            </w:rPr>
            <w:t>% and</w:t>
          </w:r>
          <w:r w:rsidR="00FA0D73">
            <w:rPr>
              <w:rFonts w:ascii="Times New Roman" w:hAnsi="Times New Roman" w:cs="Times New Roman"/>
              <w:sz w:val="24"/>
              <w:szCs w:val="24"/>
            </w:rPr>
            <w:t xml:space="preserve"> </w:t>
          </w:r>
          <w:r w:rsidR="00AB3BA4">
            <w:rPr>
              <w:rFonts w:ascii="Times New Roman" w:hAnsi="Times New Roman" w:cs="Times New Roman"/>
              <w:sz w:val="24"/>
              <w:szCs w:val="24"/>
            </w:rPr>
            <w:t xml:space="preserve">20% for the electric </w:t>
          </w:r>
          <w:r w:rsidR="00AB3BA4" w:rsidRPr="00625756">
            <w:rPr>
              <w:rFonts w:ascii="Times New Roman" w:hAnsi="Times New Roman" w:cs="Times New Roman"/>
              <w:sz w:val="24"/>
              <w:szCs w:val="24"/>
            </w:rPr>
            <w:t>industry</w:t>
          </w:r>
          <w:r w:rsidR="001D5684">
            <w:rPr>
              <w:rStyle w:val="FootnoteReference"/>
              <w:rFonts w:ascii="Times New Roman" w:hAnsi="Times New Roman" w:cs="Times New Roman"/>
              <w:sz w:val="24"/>
              <w:szCs w:val="24"/>
            </w:rPr>
            <w:footnoteReference w:id="5"/>
          </w:r>
          <w:r w:rsidR="001D5684">
            <w:rPr>
              <w:rFonts w:ascii="Times New Roman" w:hAnsi="Times New Roman" w:cs="Times New Roman"/>
              <w:sz w:val="24"/>
              <w:szCs w:val="24"/>
            </w:rPr>
            <w:t>.</w:t>
          </w:r>
          <w:r w:rsidR="00AB3BA4">
            <w:rPr>
              <w:rFonts w:ascii="Times New Roman" w:hAnsi="Times New Roman" w:cs="Times New Roman"/>
              <w:sz w:val="24"/>
              <w:szCs w:val="24"/>
            </w:rPr>
            <w:t xml:space="preserve">  </w:t>
          </w:r>
          <w:r w:rsidR="00266452">
            <w:rPr>
              <w:rFonts w:ascii="Times New Roman" w:hAnsi="Times New Roman" w:cs="Times New Roman"/>
              <w:sz w:val="24"/>
              <w:szCs w:val="24"/>
            </w:rPr>
            <w:t xml:space="preserve"> Moreover, t</w:t>
          </w:r>
          <w:r w:rsidR="00AB3BA4">
            <w:rPr>
              <w:rFonts w:ascii="Times New Roman" w:hAnsi="Times New Roman" w:cs="Times New Roman"/>
              <w:sz w:val="24"/>
              <w:szCs w:val="24"/>
            </w:rPr>
            <w:t>he company experienced its</w:t>
          </w:r>
          <w:r>
            <w:rPr>
              <w:rFonts w:ascii="Times New Roman" w:hAnsi="Times New Roman" w:cs="Times New Roman"/>
              <w:sz w:val="24"/>
              <w:szCs w:val="24"/>
            </w:rPr>
            <w:t xml:space="preserve"> highest profit margin of 14.54%</w:t>
          </w:r>
          <w:r w:rsidR="00AB3BA4">
            <w:rPr>
              <w:rFonts w:ascii="Times New Roman" w:hAnsi="Times New Roman" w:cs="Times New Roman"/>
              <w:sz w:val="24"/>
              <w:szCs w:val="24"/>
            </w:rPr>
            <w:t xml:space="preserve"> in 2014</w:t>
          </w:r>
          <w:r w:rsidR="002767CB">
            <w:rPr>
              <w:rFonts w:ascii="Times New Roman" w:hAnsi="Times New Roman" w:cs="Times New Roman"/>
              <w:sz w:val="24"/>
              <w:szCs w:val="24"/>
            </w:rPr>
            <w:t xml:space="preserve">. </w:t>
          </w:r>
          <w:r w:rsidR="00592940">
            <w:rPr>
              <w:rFonts w:ascii="Times New Roman" w:hAnsi="Times New Roman" w:cs="Times New Roman"/>
              <w:sz w:val="24"/>
              <w:szCs w:val="24"/>
            </w:rPr>
            <w:t xml:space="preserve"> </w:t>
          </w:r>
          <w:r w:rsidR="002767CB">
            <w:rPr>
              <w:rFonts w:ascii="Times New Roman" w:hAnsi="Times New Roman" w:cs="Times New Roman"/>
              <w:sz w:val="24"/>
              <w:szCs w:val="24"/>
            </w:rPr>
            <w:t xml:space="preserve">This </w:t>
          </w:r>
          <w:r w:rsidR="00BB7679">
            <w:rPr>
              <w:rFonts w:ascii="Times New Roman" w:hAnsi="Times New Roman" w:cs="Times New Roman"/>
              <w:sz w:val="24"/>
              <w:szCs w:val="24"/>
            </w:rPr>
            <w:t>was largely</w:t>
          </w:r>
          <w:r w:rsidR="00A37BC0">
            <w:rPr>
              <w:rFonts w:ascii="Times New Roman" w:hAnsi="Times New Roman" w:cs="Times New Roman"/>
              <w:sz w:val="24"/>
              <w:szCs w:val="24"/>
            </w:rPr>
            <w:t xml:space="preserve"> </w:t>
          </w:r>
          <w:r w:rsidR="00592940">
            <w:rPr>
              <w:rFonts w:ascii="Times New Roman" w:hAnsi="Times New Roman" w:cs="Times New Roman"/>
              <w:sz w:val="24"/>
              <w:szCs w:val="24"/>
            </w:rPr>
            <w:t>attributed to</w:t>
          </w:r>
          <w:r w:rsidR="00393977">
            <w:rPr>
              <w:rFonts w:ascii="Times New Roman" w:hAnsi="Times New Roman" w:cs="Times New Roman"/>
              <w:sz w:val="24"/>
              <w:szCs w:val="24"/>
            </w:rPr>
            <w:t xml:space="preserve"> the </w:t>
          </w:r>
          <w:r w:rsidR="00592940">
            <w:rPr>
              <w:rFonts w:ascii="Times New Roman" w:hAnsi="Times New Roman" w:cs="Times New Roman"/>
              <w:sz w:val="24"/>
              <w:szCs w:val="24"/>
            </w:rPr>
            <w:t>growth in revenue</w:t>
          </w:r>
          <w:r w:rsidR="00DA5A9A">
            <w:rPr>
              <w:rFonts w:ascii="Times New Roman" w:hAnsi="Times New Roman" w:cs="Times New Roman"/>
              <w:sz w:val="24"/>
              <w:szCs w:val="24"/>
            </w:rPr>
            <w:t>,</w:t>
          </w:r>
          <w:r w:rsidR="00592940">
            <w:rPr>
              <w:rFonts w:ascii="Times New Roman" w:hAnsi="Times New Roman" w:cs="Times New Roman"/>
              <w:sz w:val="24"/>
              <w:szCs w:val="24"/>
            </w:rPr>
            <w:t xml:space="preserve"> </w:t>
          </w:r>
          <w:r w:rsidR="002767CB">
            <w:rPr>
              <w:rFonts w:ascii="Times New Roman" w:hAnsi="Times New Roman" w:cs="Times New Roman"/>
              <w:sz w:val="24"/>
              <w:szCs w:val="24"/>
            </w:rPr>
            <w:t xml:space="preserve">a </w:t>
          </w:r>
          <w:r w:rsidR="00CF077D">
            <w:rPr>
              <w:rFonts w:ascii="Times New Roman" w:hAnsi="Times New Roman" w:cs="Times New Roman"/>
              <w:sz w:val="24"/>
              <w:szCs w:val="24"/>
            </w:rPr>
            <w:t xml:space="preserve">reduction </w:t>
          </w:r>
          <w:r w:rsidR="00460980">
            <w:rPr>
              <w:rFonts w:ascii="Times New Roman" w:hAnsi="Times New Roman" w:cs="Times New Roman"/>
              <w:sz w:val="24"/>
              <w:szCs w:val="24"/>
            </w:rPr>
            <w:t xml:space="preserve">in </w:t>
          </w:r>
          <w:r w:rsidR="00CF077D">
            <w:rPr>
              <w:rFonts w:ascii="Times New Roman" w:hAnsi="Times New Roman" w:cs="Times New Roman"/>
              <w:sz w:val="24"/>
              <w:szCs w:val="24"/>
            </w:rPr>
            <w:t>expenditure</w:t>
          </w:r>
          <w:r w:rsidR="006E5377">
            <w:rPr>
              <w:rFonts w:ascii="Times New Roman" w:hAnsi="Times New Roman" w:cs="Times New Roman"/>
              <w:sz w:val="24"/>
              <w:szCs w:val="24"/>
            </w:rPr>
            <w:t>,</w:t>
          </w:r>
          <w:r w:rsidR="00BB7679">
            <w:rPr>
              <w:rFonts w:ascii="Times New Roman" w:hAnsi="Times New Roman" w:cs="Times New Roman"/>
              <w:sz w:val="24"/>
              <w:szCs w:val="24"/>
            </w:rPr>
            <w:t xml:space="preserve"> </w:t>
          </w:r>
          <w:r w:rsidR="00DA5A9A">
            <w:rPr>
              <w:rFonts w:ascii="Times New Roman" w:hAnsi="Times New Roman" w:cs="Times New Roman"/>
              <w:sz w:val="24"/>
              <w:szCs w:val="24"/>
            </w:rPr>
            <w:t xml:space="preserve">and an </w:t>
          </w:r>
          <w:r w:rsidR="00592940">
            <w:rPr>
              <w:rFonts w:ascii="Times New Roman" w:hAnsi="Times New Roman" w:cs="Times New Roman"/>
              <w:sz w:val="24"/>
              <w:szCs w:val="24"/>
            </w:rPr>
            <w:t xml:space="preserve">adjustment </w:t>
          </w:r>
          <w:r w:rsidR="006E5377">
            <w:rPr>
              <w:rFonts w:ascii="Times New Roman" w:hAnsi="Times New Roman" w:cs="Times New Roman"/>
              <w:sz w:val="24"/>
              <w:szCs w:val="24"/>
            </w:rPr>
            <w:t>in</w:t>
          </w:r>
          <w:r w:rsidR="00592940">
            <w:rPr>
              <w:rFonts w:ascii="Times New Roman" w:hAnsi="Times New Roman" w:cs="Times New Roman"/>
              <w:sz w:val="24"/>
              <w:szCs w:val="24"/>
            </w:rPr>
            <w:t xml:space="preserve"> deferred income tax</w:t>
          </w:r>
          <w:r w:rsidR="00393977">
            <w:rPr>
              <w:rFonts w:ascii="Times New Roman" w:hAnsi="Times New Roman" w:cs="Times New Roman"/>
              <w:sz w:val="24"/>
              <w:szCs w:val="24"/>
            </w:rPr>
            <w:t xml:space="preserve"> of $</w:t>
          </w:r>
          <w:r w:rsidR="002767CB">
            <w:rPr>
              <w:rFonts w:ascii="Times New Roman" w:hAnsi="Times New Roman" w:cs="Times New Roman"/>
              <w:sz w:val="24"/>
              <w:szCs w:val="24"/>
            </w:rPr>
            <w:t>3</w:t>
          </w:r>
          <w:r w:rsidR="00FE3A36">
            <w:rPr>
              <w:rFonts w:ascii="Times New Roman" w:hAnsi="Times New Roman" w:cs="Times New Roman"/>
              <w:sz w:val="24"/>
              <w:szCs w:val="24"/>
            </w:rPr>
            <w:t>.3 million.</w:t>
          </w:r>
        </w:p>
        <w:p w:rsidR="00FE3A36" w:rsidRDefault="00FE3A36" w:rsidP="004138AE">
          <w:pPr>
            <w:pStyle w:val="NoSpacing"/>
            <w:tabs>
              <w:tab w:val="left" w:pos="1320"/>
            </w:tabs>
            <w:jc w:val="both"/>
            <w:rPr>
              <w:rFonts w:ascii="Times New Roman" w:hAnsi="Times New Roman" w:cs="Times New Roman"/>
              <w:sz w:val="24"/>
              <w:szCs w:val="24"/>
            </w:rPr>
          </w:pPr>
        </w:p>
        <w:p w:rsidR="00EB0ABD" w:rsidRDefault="00266452" w:rsidP="004138AE">
          <w:pPr>
            <w:pStyle w:val="NoSpacing"/>
            <w:tabs>
              <w:tab w:val="left" w:pos="1320"/>
            </w:tabs>
            <w:jc w:val="both"/>
            <w:rPr>
              <w:rFonts w:ascii="Times New Roman" w:hAnsi="Times New Roman" w:cs="Times New Roman"/>
              <w:sz w:val="24"/>
              <w:szCs w:val="24"/>
            </w:rPr>
          </w:pPr>
          <w:r>
            <w:rPr>
              <w:rFonts w:ascii="Times New Roman" w:hAnsi="Times New Roman" w:cs="Times New Roman"/>
              <w:sz w:val="24"/>
              <w:szCs w:val="24"/>
            </w:rPr>
            <w:t>DOMLE</w:t>
          </w:r>
          <w:r w:rsidR="00FA0D73">
            <w:rPr>
              <w:rFonts w:ascii="Times New Roman" w:hAnsi="Times New Roman" w:cs="Times New Roman"/>
              <w:sz w:val="24"/>
              <w:szCs w:val="24"/>
            </w:rPr>
            <w:t>C</w:t>
          </w:r>
          <w:r>
            <w:rPr>
              <w:rFonts w:ascii="Times New Roman" w:hAnsi="Times New Roman" w:cs="Times New Roman"/>
              <w:sz w:val="24"/>
              <w:szCs w:val="24"/>
            </w:rPr>
            <w:t xml:space="preserve"> attained higher profit margin</w:t>
          </w:r>
          <w:r w:rsidR="00460980">
            <w:rPr>
              <w:rFonts w:ascii="Times New Roman" w:hAnsi="Times New Roman" w:cs="Times New Roman"/>
              <w:sz w:val="24"/>
              <w:szCs w:val="24"/>
            </w:rPr>
            <w:t>s</w:t>
          </w:r>
          <w:r>
            <w:rPr>
              <w:rFonts w:ascii="Times New Roman" w:hAnsi="Times New Roman" w:cs="Times New Roman"/>
              <w:sz w:val="24"/>
              <w:szCs w:val="24"/>
            </w:rPr>
            <w:t xml:space="preserve"> </w:t>
          </w:r>
          <w:r w:rsidR="00DB0BD0">
            <w:rPr>
              <w:rFonts w:ascii="Times New Roman" w:hAnsi="Times New Roman" w:cs="Times New Roman"/>
              <w:sz w:val="24"/>
              <w:szCs w:val="24"/>
            </w:rPr>
            <w:t xml:space="preserve">in </w:t>
          </w:r>
          <w:r w:rsidR="007C1743">
            <w:rPr>
              <w:rFonts w:ascii="Times New Roman" w:hAnsi="Times New Roman" w:cs="Times New Roman"/>
              <w:sz w:val="24"/>
              <w:szCs w:val="24"/>
            </w:rPr>
            <w:t xml:space="preserve">comparison </w:t>
          </w:r>
          <w:r w:rsidR="00DB0BD0">
            <w:rPr>
              <w:rFonts w:ascii="Times New Roman" w:hAnsi="Times New Roman" w:cs="Times New Roman"/>
              <w:sz w:val="24"/>
              <w:szCs w:val="24"/>
            </w:rPr>
            <w:t>to LUCELEC and GRENLEC</w:t>
          </w:r>
          <w:r>
            <w:rPr>
              <w:rFonts w:ascii="Times New Roman" w:hAnsi="Times New Roman" w:cs="Times New Roman"/>
              <w:sz w:val="24"/>
              <w:szCs w:val="24"/>
            </w:rPr>
            <w:t xml:space="preserve"> in </w:t>
          </w:r>
          <w:r w:rsidR="00460980">
            <w:rPr>
              <w:rFonts w:ascii="Times New Roman" w:hAnsi="Times New Roman" w:cs="Times New Roman"/>
              <w:sz w:val="24"/>
              <w:szCs w:val="24"/>
            </w:rPr>
            <w:t xml:space="preserve">the years </w:t>
          </w:r>
          <w:r w:rsidR="00625756">
            <w:rPr>
              <w:rFonts w:ascii="Times New Roman" w:hAnsi="Times New Roman" w:cs="Times New Roman"/>
              <w:sz w:val="24"/>
              <w:szCs w:val="24"/>
            </w:rPr>
            <w:t xml:space="preserve">2013, </w:t>
          </w:r>
          <w:r>
            <w:rPr>
              <w:rFonts w:ascii="Times New Roman" w:hAnsi="Times New Roman" w:cs="Times New Roman"/>
              <w:sz w:val="24"/>
              <w:szCs w:val="24"/>
            </w:rPr>
            <w:t xml:space="preserve">2014 and 2015. </w:t>
          </w:r>
          <w:r w:rsidR="00823CCE">
            <w:rPr>
              <w:rFonts w:ascii="Times New Roman" w:hAnsi="Times New Roman" w:cs="Times New Roman"/>
              <w:sz w:val="24"/>
              <w:szCs w:val="24"/>
            </w:rPr>
            <w:t xml:space="preserve"> A</w:t>
          </w:r>
          <w:r>
            <w:rPr>
              <w:rFonts w:ascii="Times New Roman" w:hAnsi="Times New Roman" w:cs="Times New Roman"/>
              <w:sz w:val="24"/>
              <w:szCs w:val="24"/>
            </w:rPr>
            <w:t xml:space="preserve">lthough the US economy is </w:t>
          </w:r>
          <w:r w:rsidR="007C1743">
            <w:rPr>
              <w:rFonts w:ascii="Times New Roman" w:hAnsi="Times New Roman" w:cs="Times New Roman"/>
              <w:sz w:val="24"/>
              <w:szCs w:val="24"/>
            </w:rPr>
            <w:t>significant</w:t>
          </w:r>
          <w:r w:rsidR="00874BBE">
            <w:rPr>
              <w:rFonts w:ascii="Times New Roman" w:hAnsi="Times New Roman" w:cs="Times New Roman"/>
              <w:sz w:val="24"/>
              <w:szCs w:val="24"/>
            </w:rPr>
            <w:t>ly</w:t>
          </w:r>
          <w:r w:rsidR="007C1743">
            <w:rPr>
              <w:rFonts w:ascii="Times New Roman" w:hAnsi="Times New Roman" w:cs="Times New Roman"/>
              <w:sz w:val="24"/>
              <w:szCs w:val="24"/>
            </w:rPr>
            <w:t xml:space="preserve"> larger in</w:t>
          </w:r>
          <w:r w:rsidR="00DB0BD0">
            <w:rPr>
              <w:rFonts w:ascii="Times New Roman" w:hAnsi="Times New Roman" w:cs="Times New Roman"/>
              <w:sz w:val="24"/>
              <w:szCs w:val="24"/>
            </w:rPr>
            <w:t xml:space="preserve"> comparison to the OECS, </w:t>
          </w:r>
          <w:r w:rsidR="00FA0D73">
            <w:rPr>
              <w:rFonts w:ascii="Times New Roman" w:hAnsi="Times New Roman" w:cs="Times New Roman"/>
              <w:sz w:val="24"/>
              <w:szCs w:val="24"/>
            </w:rPr>
            <w:t>the three electric utilitie</w:t>
          </w:r>
          <w:r w:rsidR="00823CCE">
            <w:rPr>
              <w:rFonts w:ascii="Times New Roman" w:hAnsi="Times New Roman" w:cs="Times New Roman"/>
              <w:sz w:val="24"/>
              <w:szCs w:val="24"/>
            </w:rPr>
            <w:t>s</w:t>
          </w:r>
          <w:r w:rsidR="00FA0D73">
            <w:rPr>
              <w:rFonts w:ascii="Times New Roman" w:hAnsi="Times New Roman" w:cs="Times New Roman"/>
              <w:sz w:val="24"/>
              <w:szCs w:val="24"/>
            </w:rPr>
            <w:t xml:space="preserve"> as de</w:t>
          </w:r>
          <w:r w:rsidR="00874BBE">
            <w:rPr>
              <w:rFonts w:ascii="Times New Roman" w:hAnsi="Times New Roman" w:cs="Times New Roman"/>
              <w:sz w:val="24"/>
              <w:szCs w:val="24"/>
            </w:rPr>
            <w:t xml:space="preserve">picted in the table </w:t>
          </w:r>
          <w:r w:rsidR="007C1743">
            <w:rPr>
              <w:rFonts w:ascii="Times New Roman" w:hAnsi="Times New Roman" w:cs="Times New Roman"/>
              <w:sz w:val="24"/>
              <w:szCs w:val="24"/>
            </w:rPr>
            <w:t xml:space="preserve">attained </w:t>
          </w:r>
          <w:r w:rsidR="00625756">
            <w:rPr>
              <w:rFonts w:ascii="Times New Roman" w:hAnsi="Times New Roman" w:cs="Times New Roman"/>
              <w:sz w:val="24"/>
              <w:szCs w:val="24"/>
            </w:rPr>
            <w:t xml:space="preserve">a </w:t>
          </w:r>
          <w:r w:rsidR="00874BBE">
            <w:rPr>
              <w:rFonts w:ascii="Times New Roman" w:hAnsi="Times New Roman" w:cs="Times New Roman"/>
              <w:sz w:val="24"/>
              <w:szCs w:val="24"/>
            </w:rPr>
            <w:t xml:space="preserve">higher </w:t>
          </w:r>
          <w:r w:rsidR="007C1743">
            <w:rPr>
              <w:rFonts w:ascii="Times New Roman" w:hAnsi="Times New Roman" w:cs="Times New Roman"/>
              <w:sz w:val="24"/>
              <w:szCs w:val="24"/>
            </w:rPr>
            <w:t xml:space="preserve">profit margin than that of </w:t>
          </w:r>
          <w:r w:rsidR="00874BBE">
            <w:rPr>
              <w:rFonts w:ascii="Times New Roman" w:hAnsi="Times New Roman" w:cs="Times New Roman"/>
              <w:sz w:val="24"/>
              <w:szCs w:val="24"/>
            </w:rPr>
            <w:t>US Investors Owned Electric Utilities</w:t>
          </w:r>
          <w:r w:rsidR="00625756">
            <w:rPr>
              <w:rFonts w:ascii="Times New Roman" w:hAnsi="Times New Roman" w:cs="Times New Roman"/>
              <w:sz w:val="24"/>
              <w:szCs w:val="24"/>
            </w:rPr>
            <w:t xml:space="preserve"> in 2014, the only period for which data are available</w:t>
          </w:r>
          <w:r w:rsidR="00874BBE">
            <w:rPr>
              <w:rFonts w:ascii="Times New Roman" w:hAnsi="Times New Roman" w:cs="Times New Roman"/>
              <w:sz w:val="24"/>
              <w:szCs w:val="24"/>
            </w:rPr>
            <w:t>.</w:t>
          </w:r>
        </w:p>
        <w:p w:rsidR="00387857" w:rsidRPr="00CF077D" w:rsidRDefault="00FB7DD9" w:rsidP="004138AE">
          <w:pPr>
            <w:pStyle w:val="NoSpacing"/>
            <w:tabs>
              <w:tab w:val="left" w:pos="1320"/>
            </w:tabs>
            <w:jc w:val="both"/>
            <w:rPr>
              <w:rFonts w:ascii="Times New Roman" w:hAnsi="Times New Roman" w:cs="Times New Roman"/>
              <w:sz w:val="24"/>
              <w:szCs w:val="24"/>
            </w:rPr>
          </w:pPr>
        </w:p>
      </w:sdtContent>
    </w:sdt>
    <w:p w:rsidR="00387857" w:rsidRPr="00142C8C" w:rsidRDefault="00387857" w:rsidP="00875AF0">
      <w:pPr>
        <w:pStyle w:val="NoSpacing"/>
        <w:numPr>
          <w:ilvl w:val="0"/>
          <w:numId w:val="5"/>
        </w:numPr>
        <w:tabs>
          <w:tab w:val="left" w:pos="1320"/>
        </w:tabs>
        <w:jc w:val="both"/>
        <w:rPr>
          <w:rFonts w:ascii="Times New Roman" w:hAnsi="Times New Roman" w:cs="Times New Roman"/>
          <w:sz w:val="24"/>
          <w:szCs w:val="24"/>
        </w:rPr>
      </w:pPr>
      <w:r w:rsidRPr="00142C8C">
        <w:rPr>
          <w:rFonts w:ascii="Times New Roman" w:hAnsi="Times New Roman" w:cs="Times New Roman"/>
          <w:b/>
          <w:color w:val="000000"/>
          <w:sz w:val="24"/>
          <w:szCs w:val="24"/>
        </w:rPr>
        <w:t>Return on Assets</w:t>
      </w:r>
      <w:r w:rsidR="00EB0ABD">
        <w:rPr>
          <w:rFonts w:ascii="Times New Roman" w:hAnsi="Times New Roman" w:cs="Times New Roman"/>
          <w:b/>
          <w:color w:val="000000"/>
          <w:sz w:val="24"/>
          <w:szCs w:val="24"/>
        </w:rPr>
        <w:t xml:space="preserve"> (ROA)</w:t>
      </w:r>
    </w:p>
    <w:p w:rsidR="00387857" w:rsidRDefault="00387857" w:rsidP="004138AE">
      <w:pPr>
        <w:pStyle w:val="NoSpacing"/>
        <w:tabs>
          <w:tab w:val="left" w:pos="1320"/>
        </w:tabs>
        <w:jc w:val="both"/>
        <w:rPr>
          <w:rFonts w:ascii="Times New Roman" w:hAnsi="Times New Roman" w:cs="Times New Roman"/>
          <w:sz w:val="24"/>
          <w:szCs w:val="24"/>
          <w:highlight w:val="yellow"/>
        </w:rPr>
      </w:pPr>
    </w:p>
    <w:p w:rsidR="00387857" w:rsidRPr="00215C1B" w:rsidRDefault="00387857" w:rsidP="004138AE">
      <w:pPr>
        <w:pStyle w:val="NoSpacing"/>
        <w:tabs>
          <w:tab w:val="left" w:pos="1320"/>
        </w:tabs>
        <w:jc w:val="both"/>
        <w:rPr>
          <w:rFonts w:ascii="Times New Roman" w:hAnsi="Times New Roman" w:cs="Times New Roman"/>
          <w:sz w:val="24"/>
          <w:szCs w:val="24"/>
        </w:rPr>
      </w:pPr>
      <w:r w:rsidRPr="00215C1B">
        <w:rPr>
          <w:rFonts w:ascii="Times New Roman" w:hAnsi="Times New Roman" w:cs="Times New Roman"/>
          <w:sz w:val="24"/>
          <w:szCs w:val="24"/>
        </w:rPr>
        <w:t>Return on Assets is an indicator that sh</w:t>
      </w:r>
      <w:r w:rsidR="0003645E">
        <w:rPr>
          <w:rFonts w:ascii="Times New Roman" w:hAnsi="Times New Roman" w:cs="Times New Roman"/>
          <w:sz w:val="24"/>
          <w:szCs w:val="24"/>
        </w:rPr>
        <w:t>ows how profitable a utility is</w:t>
      </w:r>
      <w:r w:rsidRPr="00215C1B">
        <w:rPr>
          <w:rFonts w:ascii="Times New Roman" w:hAnsi="Times New Roman" w:cs="Times New Roman"/>
          <w:sz w:val="24"/>
          <w:szCs w:val="24"/>
        </w:rPr>
        <w:t>.  It measure</w:t>
      </w:r>
      <w:r>
        <w:rPr>
          <w:rFonts w:ascii="Times New Roman" w:hAnsi="Times New Roman" w:cs="Times New Roman"/>
          <w:sz w:val="24"/>
          <w:szCs w:val="24"/>
        </w:rPr>
        <w:t>s</w:t>
      </w:r>
      <w:r w:rsidRPr="00215C1B">
        <w:rPr>
          <w:rFonts w:ascii="Times New Roman" w:hAnsi="Times New Roman" w:cs="Times New Roman"/>
          <w:sz w:val="24"/>
          <w:szCs w:val="24"/>
        </w:rPr>
        <w:t xml:space="preserve"> how effectively assets are used </w:t>
      </w:r>
      <w:r w:rsidR="000A2A3B">
        <w:rPr>
          <w:rFonts w:ascii="Times New Roman" w:hAnsi="Times New Roman" w:cs="Times New Roman"/>
          <w:sz w:val="24"/>
          <w:szCs w:val="24"/>
        </w:rPr>
        <w:t xml:space="preserve">to generate earnings. </w:t>
      </w:r>
      <w:r w:rsidR="005101B6">
        <w:rPr>
          <w:rFonts w:ascii="Times New Roman" w:hAnsi="Times New Roman" w:cs="Times New Roman"/>
          <w:sz w:val="24"/>
          <w:szCs w:val="24"/>
        </w:rPr>
        <w:t xml:space="preserve">Only </w:t>
      </w:r>
      <w:r w:rsidR="00AA570E">
        <w:rPr>
          <w:rFonts w:ascii="Times New Roman" w:hAnsi="Times New Roman" w:cs="Times New Roman"/>
          <w:sz w:val="24"/>
          <w:szCs w:val="24"/>
        </w:rPr>
        <w:t>noncurrent</w:t>
      </w:r>
      <w:r w:rsidR="005101B6">
        <w:rPr>
          <w:rFonts w:ascii="Times New Roman" w:hAnsi="Times New Roman" w:cs="Times New Roman"/>
          <w:sz w:val="24"/>
          <w:szCs w:val="24"/>
        </w:rPr>
        <w:t xml:space="preserve"> assets are considered. Th</w:t>
      </w:r>
      <w:r w:rsidR="00483985">
        <w:rPr>
          <w:rFonts w:ascii="Times New Roman" w:hAnsi="Times New Roman" w:cs="Times New Roman"/>
          <w:sz w:val="24"/>
          <w:szCs w:val="24"/>
        </w:rPr>
        <w:t>e</w:t>
      </w:r>
      <w:r w:rsidRPr="00215C1B">
        <w:rPr>
          <w:rFonts w:ascii="Times New Roman" w:hAnsi="Times New Roman" w:cs="Times New Roman"/>
          <w:sz w:val="24"/>
          <w:szCs w:val="24"/>
        </w:rPr>
        <w:t xml:space="preserve"> ratio is calculated as:</w:t>
      </w:r>
    </w:p>
    <w:p w:rsidR="00387857" w:rsidRPr="00215C1B" w:rsidRDefault="00387857" w:rsidP="004138AE">
      <w:pPr>
        <w:pStyle w:val="NoSpacing"/>
        <w:tabs>
          <w:tab w:val="left" w:pos="1320"/>
        </w:tabs>
        <w:jc w:val="both"/>
        <w:rPr>
          <w:rFonts w:ascii="Times New Roman" w:hAnsi="Times New Roman" w:cs="Times New Roman"/>
          <w:sz w:val="24"/>
          <w:szCs w:val="24"/>
        </w:rPr>
      </w:pPr>
    </w:p>
    <w:p w:rsidR="00813928" w:rsidRDefault="00813928" w:rsidP="004138AE">
      <w:pPr>
        <w:pStyle w:val="NoSpacing"/>
        <w:tabs>
          <w:tab w:val="left" w:pos="1320"/>
        </w:tabs>
        <w:jc w:val="both"/>
        <w:rPr>
          <w:rFonts w:ascii="Times New Roman" w:hAnsi="Times New Roman" w:cs="Times New Roman"/>
          <w:sz w:val="24"/>
          <w:szCs w:val="24"/>
        </w:rPr>
      </w:pPr>
    </w:p>
    <w:p w:rsidR="00813928" w:rsidRDefault="00813928" w:rsidP="004138AE">
      <w:pPr>
        <w:pStyle w:val="NoSpacing"/>
        <w:tabs>
          <w:tab w:val="left" w:pos="1320"/>
        </w:tabs>
        <w:jc w:val="both"/>
        <w:rPr>
          <w:rFonts w:ascii="Times New Roman" w:hAnsi="Times New Roman" w:cs="Times New Roman"/>
          <w:sz w:val="24"/>
          <w:szCs w:val="24"/>
        </w:rPr>
      </w:pPr>
    </w:p>
    <w:p w:rsidR="00813928" w:rsidRDefault="00813928" w:rsidP="004138AE">
      <w:pPr>
        <w:pStyle w:val="NoSpacing"/>
        <w:tabs>
          <w:tab w:val="left" w:pos="1320"/>
        </w:tabs>
        <w:jc w:val="both"/>
        <w:rPr>
          <w:rFonts w:ascii="Times New Roman" w:hAnsi="Times New Roman" w:cs="Times New Roman"/>
          <w:sz w:val="24"/>
          <w:szCs w:val="24"/>
        </w:rPr>
      </w:pPr>
    </w:p>
    <w:p w:rsidR="00387857" w:rsidRDefault="00387857" w:rsidP="004138AE">
      <w:pPr>
        <w:pStyle w:val="NoSpacing"/>
        <w:tabs>
          <w:tab w:val="left" w:pos="1320"/>
        </w:tabs>
        <w:jc w:val="both"/>
        <w:rPr>
          <w:rFonts w:ascii="Times New Roman" w:hAnsi="Times New Roman" w:cs="Times New Roman"/>
          <w:sz w:val="24"/>
          <w:szCs w:val="24"/>
        </w:rPr>
      </w:pPr>
      <w:r w:rsidRPr="00215C1B">
        <w:rPr>
          <w:rFonts w:ascii="Times New Roman" w:hAnsi="Times New Roman" w:cs="Times New Roman"/>
          <w:sz w:val="24"/>
          <w:szCs w:val="24"/>
        </w:rPr>
        <w:t>Return on Assets (ROA) = Net</w:t>
      </w:r>
      <w:r w:rsidR="005101B6">
        <w:rPr>
          <w:rFonts w:ascii="Times New Roman" w:hAnsi="Times New Roman" w:cs="Times New Roman"/>
          <w:sz w:val="24"/>
          <w:szCs w:val="24"/>
        </w:rPr>
        <w:t xml:space="preserve"> Income/Assets </w:t>
      </w:r>
    </w:p>
    <w:p w:rsidR="00984F30" w:rsidRDefault="00984F30" w:rsidP="004138AE">
      <w:pPr>
        <w:pStyle w:val="NoSpacing"/>
        <w:tabs>
          <w:tab w:val="left" w:pos="1320"/>
        </w:tabs>
        <w:jc w:val="both"/>
        <w:rPr>
          <w:rFonts w:ascii="Times New Roman" w:hAnsi="Times New Roman" w:cs="Times New Roman"/>
          <w:b/>
          <w:sz w:val="24"/>
          <w:szCs w:val="24"/>
        </w:rPr>
      </w:pPr>
    </w:p>
    <w:p w:rsidR="00984F30" w:rsidRDefault="00984F30" w:rsidP="004138AE">
      <w:pPr>
        <w:pStyle w:val="NoSpacing"/>
        <w:tabs>
          <w:tab w:val="left" w:pos="1320"/>
        </w:tabs>
        <w:jc w:val="both"/>
        <w:rPr>
          <w:rFonts w:ascii="Times New Roman" w:hAnsi="Times New Roman" w:cs="Times New Roman"/>
          <w:b/>
          <w:sz w:val="24"/>
          <w:szCs w:val="24"/>
        </w:rPr>
      </w:pPr>
    </w:p>
    <w:p w:rsidR="0054029F" w:rsidRPr="00984F30" w:rsidRDefault="0054029F" w:rsidP="004138AE">
      <w:pPr>
        <w:pStyle w:val="NoSpacing"/>
        <w:tabs>
          <w:tab w:val="left" w:pos="1320"/>
        </w:tabs>
        <w:jc w:val="both"/>
        <w:rPr>
          <w:rFonts w:ascii="Times New Roman" w:hAnsi="Times New Roman" w:cs="Times New Roman"/>
          <w:b/>
          <w:sz w:val="24"/>
          <w:szCs w:val="24"/>
        </w:rPr>
      </w:pPr>
      <w:r w:rsidRPr="00984F30">
        <w:rPr>
          <w:rFonts w:ascii="Times New Roman" w:hAnsi="Times New Roman" w:cs="Times New Roman"/>
          <w:b/>
          <w:sz w:val="24"/>
          <w:szCs w:val="24"/>
        </w:rPr>
        <w:t xml:space="preserve">Table 2- Return on Assets 2012-2016 </w:t>
      </w:r>
    </w:p>
    <w:p w:rsidR="0054029F" w:rsidRPr="00984F30" w:rsidRDefault="0054029F" w:rsidP="004138AE">
      <w:pPr>
        <w:pStyle w:val="NoSpacing"/>
        <w:tabs>
          <w:tab w:val="left" w:pos="1320"/>
        </w:tabs>
        <w:jc w:val="both"/>
        <w:rPr>
          <w:rFonts w:ascii="Times New Roman" w:hAnsi="Times New Roman" w:cs="Times New Roman"/>
          <w:b/>
          <w:sz w:val="24"/>
          <w:szCs w:val="24"/>
        </w:rPr>
      </w:pPr>
    </w:p>
    <w:tbl>
      <w:tblPr>
        <w:tblW w:w="8061" w:type="dxa"/>
        <w:tblInd w:w="816" w:type="dxa"/>
        <w:tblLook w:val="04A0"/>
      </w:tblPr>
      <w:tblGrid>
        <w:gridCol w:w="1092"/>
        <w:gridCol w:w="1260"/>
        <w:gridCol w:w="1080"/>
        <w:gridCol w:w="1170"/>
        <w:gridCol w:w="1800"/>
        <w:gridCol w:w="1659"/>
      </w:tblGrid>
      <w:tr w:rsidR="009F601F" w:rsidRPr="009F601F" w:rsidTr="008B7B3E">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color w:val="000000"/>
              </w:rPr>
            </w:pPr>
            <w:r w:rsidRPr="009F601F">
              <w:rPr>
                <w:rFonts w:ascii="Calibri" w:eastAsia="Times New Roman" w:hAnsi="Calibri" w:cs="Times New Roman"/>
                <w:color w:val="000000"/>
              </w:rPr>
              <w:t> </w:t>
            </w:r>
          </w:p>
        </w:tc>
        <w:tc>
          <w:tcPr>
            <w:tcW w:w="6969" w:type="dxa"/>
            <w:gridSpan w:val="5"/>
            <w:tcBorders>
              <w:top w:val="single" w:sz="4" w:space="0" w:color="auto"/>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b/>
                <w:bCs/>
                <w:color w:val="000000"/>
              </w:rPr>
            </w:pPr>
            <w:r w:rsidRPr="009F601F">
              <w:rPr>
                <w:rFonts w:ascii="Calibri" w:eastAsia="Times New Roman" w:hAnsi="Calibri" w:cs="Times New Roman"/>
                <w:b/>
                <w:bCs/>
                <w:color w:val="000000"/>
              </w:rPr>
              <w:t>RETURN ON ASSETS</w:t>
            </w:r>
            <w:r w:rsidR="00835C25">
              <w:rPr>
                <w:rFonts w:ascii="Calibri" w:eastAsia="Times New Roman" w:hAnsi="Calibri" w:cs="Times New Roman"/>
                <w:b/>
                <w:bCs/>
                <w:color w:val="000000"/>
              </w:rPr>
              <w:t xml:space="preserve">  (ROA)</w:t>
            </w:r>
            <w:r w:rsidR="0054029F">
              <w:rPr>
                <w:rFonts w:ascii="Calibri" w:eastAsia="Times New Roman" w:hAnsi="Calibri" w:cs="Times New Roman"/>
                <w:b/>
                <w:bCs/>
                <w:color w:val="000000"/>
              </w:rPr>
              <w:t xml:space="preserve">  </w:t>
            </w:r>
            <w:r w:rsidR="00CB7747">
              <w:rPr>
                <w:rFonts w:ascii="Calibri" w:eastAsia="Times New Roman" w:hAnsi="Calibri" w:cs="Times New Roman"/>
                <w:b/>
                <w:bCs/>
                <w:color w:val="000000"/>
              </w:rPr>
              <w:t>%</w:t>
            </w:r>
          </w:p>
        </w:tc>
      </w:tr>
      <w:tr w:rsidR="009F601F" w:rsidRPr="009F601F" w:rsidTr="008B7B3E">
        <w:trPr>
          <w:trHeight w:val="900"/>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b/>
                <w:bCs/>
                <w:color w:val="000000"/>
              </w:rPr>
            </w:pPr>
            <w:r w:rsidRPr="009F601F">
              <w:rPr>
                <w:rFonts w:ascii="Calibri" w:eastAsia="Times New Roman" w:hAnsi="Calibri" w:cs="Times New Roman"/>
                <w:b/>
                <w:bCs/>
                <w:color w:val="000000"/>
              </w:rPr>
              <w:t>Years</w:t>
            </w:r>
          </w:p>
        </w:tc>
        <w:tc>
          <w:tcPr>
            <w:tcW w:w="126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b/>
                <w:bCs/>
                <w:color w:val="000000"/>
              </w:rPr>
            </w:pPr>
            <w:r w:rsidRPr="009F601F">
              <w:rPr>
                <w:rFonts w:ascii="Calibri" w:eastAsia="Times New Roman" w:hAnsi="Calibri" w:cs="Times New Roman"/>
                <w:b/>
                <w:bCs/>
                <w:color w:val="000000"/>
              </w:rPr>
              <w:t>DOMLEC</w:t>
            </w:r>
          </w:p>
        </w:tc>
        <w:tc>
          <w:tcPr>
            <w:tcW w:w="108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b/>
                <w:bCs/>
                <w:color w:val="000000"/>
              </w:rPr>
            </w:pPr>
            <w:r w:rsidRPr="009F601F">
              <w:rPr>
                <w:rFonts w:ascii="Calibri" w:eastAsia="Times New Roman" w:hAnsi="Calibri" w:cs="Times New Roman"/>
                <w:b/>
                <w:bCs/>
                <w:color w:val="000000"/>
              </w:rPr>
              <w:t>LUCELEC</w:t>
            </w:r>
          </w:p>
        </w:tc>
        <w:tc>
          <w:tcPr>
            <w:tcW w:w="117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b/>
                <w:bCs/>
                <w:color w:val="000000"/>
              </w:rPr>
            </w:pPr>
            <w:r w:rsidRPr="009F601F">
              <w:rPr>
                <w:rFonts w:ascii="Calibri" w:eastAsia="Times New Roman" w:hAnsi="Calibri" w:cs="Times New Roman"/>
                <w:b/>
                <w:bCs/>
                <w:color w:val="000000"/>
              </w:rPr>
              <w:t xml:space="preserve"> GRENLEC</w:t>
            </w:r>
          </w:p>
        </w:tc>
        <w:tc>
          <w:tcPr>
            <w:tcW w:w="180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b/>
                <w:bCs/>
                <w:color w:val="000000"/>
              </w:rPr>
            </w:pPr>
            <w:r w:rsidRPr="009F601F">
              <w:rPr>
                <w:rFonts w:ascii="Calibri" w:eastAsia="Times New Roman" w:hAnsi="Calibri" w:cs="Times New Roman"/>
                <w:b/>
                <w:bCs/>
                <w:color w:val="000000"/>
              </w:rPr>
              <w:t xml:space="preserve"> </w:t>
            </w:r>
            <w:r w:rsidR="00C46D52">
              <w:rPr>
                <w:rFonts w:ascii="Calibri" w:eastAsia="Times New Roman" w:hAnsi="Calibri" w:cs="Times New Roman"/>
                <w:b/>
                <w:bCs/>
                <w:color w:val="000000"/>
              </w:rPr>
              <w:t>Caribbean Electricity Utilities</w:t>
            </w:r>
            <w:r>
              <w:rPr>
                <w:rFonts w:ascii="Calibri" w:eastAsia="Times New Roman" w:hAnsi="Calibri" w:cs="Times New Roman"/>
                <w:b/>
                <w:bCs/>
                <w:color w:val="000000"/>
              </w:rPr>
              <w:t xml:space="preserve"> Regional  Average -CARILEC</w:t>
            </w:r>
          </w:p>
        </w:tc>
        <w:tc>
          <w:tcPr>
            <w:tcW w:w="1659" w:type="dxa"/>
            <w:tcBorders>
              <w:top w:val="nil"/>
              <w:left w:val="nil"/>
              <w:bottom w:val="single" w:sz="4" w:space="0" w:color="auto"/>
              <w:right w:val="single" w:sz="4" w:space="0" w:color="auto"/>
            </w:tcBorders>
            <w:shd w:val="clear" w:color="auto" w:fill="auto"/>
            <w:vAlign w:val="bottom"/>
            <w:hideMark/>
          </w:tcPr>
          <w:p w:rsidR="009F601F" w:rsidRPr="009F601F" w:rsidRDefault="009F601F" w:rsidP="004138AE">
            <w:pPr>
              <w:rPr>
                <w:rFonts w:ascii="Calibri" w:eastAsia="Times New Roman" w:hAnsi="Calibri" w:cs="Times New Roman"/>
                <w:b/>
                <w:bCs/>
                <w:color w:val="000000"/>
              </w:rPr>
            </w:pPr>
            <w:r w:rsidRPr="009F601F">
              <w:rPr>
                <w:rFonts w:ascii="Calibri" w:eastAsia="Times New Roman" w:hAnsi="Calibri" w:cs="Times New Roman"/>
                <w:b/>
                <w:bCs/>
                <w:color w:val="000000"/>
              </w:rPr>
              <w:t>US investors Owned Electric Utility Industry</w:t>
            </w:r>
          </w:p>
        </w:tc>
      </w:tr>
      <w:tr w:rsidR="009F601F" w:rsidRPr="009F601F" w:rsidTr="008B7B3E">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color w:val="000000"/>
              </w:rPr>
            </w:pPr>
            <w:r w:rsidRPr="009F601F">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color w:val="000000"/>
              </w:rPr>
            </w:pPr>
            <w:r w:rsidRPr="009F601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color w:val="000000"/>
              </w:rPr>
            </w:pPr>
            <w:r w:rsidRPr="009F601F">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color w:val="000000"/>
              </w:rPr>
            </w:pPr>
            <w:r w:rsidRPr="009F601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color w:val="000000"/>
              </w:rPr>
            </w:pPr>
            <w:r w:rsidRPr="009F601F">
              <w:rPr>
                <w:rFonts w:ascii="Calibri" w:eastAsia="Times New Roman" w:hAnsi="Calibri" w:cs="Times New Roman"/>
                <w:color w:val="000000"/>
              </w:rPr>
              <w:t> </w:t>
            </w:r>
          </w:p>
        </w:tc>
        <w:tc>
          <w:tcPr>
            <w:tcW w:w="1659"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4138AE">
            <w:pPr>
              <w:rPr>
                <w:rFonts w:ascii="Calibri" w:eastAsia="Times New Roman" w:hAnsi="Calibri" w:cs="Times New Roman"/>
                <w:color w:val="000000"/>
              </w:rPr>
            </w:pPr>
            <w:r w:rsidRPr="009F601F">
              <w:rPr>
                <w:rFonts w:ascii="Calibri" w:eastAsia="Times New Roman" w:hAnsi="Calibri" w:cs="Times New Roman"/>
                <w:color w:val="000000"/>
              </w:rPr>
              <w:t> </w:t>
            </w:r>
          </w:p>
        </w:tc>
      </w:tr>
      <w:tr w:rsidR="009F601F" w:rsidRPr="009F601F" w:rsidTr="008B7B3E">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2012</w:t>
            </w:r>
          </w:p>
        </w:tc>
        <w:tc>
          <w:tcPr>
            <w:tcW w:w="126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6.73</w:t>
            </w:r>
          </w:p>
        </w:tc>
        <w:tc>
          <w:tcPr>
            <w:tcW w:w="108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8.09</w:t>
            </w:r>
          </w:p>
        </w:tc>
        <w:tc>
          <w:tcPr>
            <w:tcW w:w="117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15.64</w:t>
            </w:r>
          </w:p>
        </w:tc>
        <w:tc>
          <w:tcPr>
            <w:tcW w:w="1800" w:type="dxa"/>
            <w:tcBorders>
              <w:top w:val="nil"/>
              <w:left w:val="nil"/>
              <w:bottom w:val="single" w:sz="4" w:space="0" w:color="auto"/>
              <w:right w:val="single" w:sz="4" w:space="0" w:color="auto"/>
            </w:tcBorders>
            <w:shd w:val="clear" w:color="auto" w:fill="auto"/>
            <w:noWrap/>
            <w:vAlign w:val="bottom"/>
            <w:hideMark/>
          </w:tcPr>
          <w:p w:rsidR="009F601F" w:rsidRPr="009F601F" w:rsidRDefault="007D6604" w:rsidP="00CB7747">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659" w:type="dxa"/>
            <w:tcBorders>
              <w:top w:val="nil"/>
              <w:left w:val="nil"/>
              <w:bottom w:val="single" w:sz="4" w:space="0" w:color="auto"/>
              <w:right w:val="single" w:sz="4" w:space="0" w:color="auto"/>
            </w:tcBorders>
            <w:shd w:val="clear" w:color="auto" w:fill="auto"/>
            <w:noWrap/>
            <w:vAlign w:val="bottom"/>
            <w:hideMark/>
          </w:tcPr>
          <w:p w:rsidR="009F601F" w:rsidRPr="009F601F" w:rsidRDefault="00EB0ABD" w:rsidP="00CB7747">
            <w:pPr>
              <w:jc w:val="center"/>
              <w:rPr>
                <w:rFonts w:ascii="Calibri" w:eastAsia="Times New Roman" w:hAnsi="Calibri" w:cs="Times New Roman"/>
                <w:color w:val="000000"/>
              </w:rPr>
            </w:pPr>
            <w:r>
              <w:rPr>
                <w:rFonts w:ascii="Calibri" w:eastAsia="Times New Roman" w:hAnsi="Calibri" w:cs="Times New Roman"/>
                <w:color w:val="000000"/>
              </w:rPr>
              <w:t>NA</w:t>
            </w:r>
          </w:p>
        </w:tc>
      </w:tr>
      <w:tr w:rsidR="009F601F" w:rsidRPr="009F601F" w:rsidTr="008B7B3E">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2013</w:t>
            </w:r>
          </w:p>
        </w:tc>
        <w:tc>
          <w:tcPr>
            <w:tcW w:w="126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6.96</w:t>
            </w:r>
          </w:p>
        </w:tc>
        <w:tc>
          <w:tcPr>
            <w:tcW w:w="108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8.24</w:t>
            </w:r>
          </w:p>
        </w:tc>
        <w:tc>
          <w:tcPr>
            <w:tcW w:w="117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18</w:t>
            </w:r>
          </w:p>
        </w:tc>
        <w:tc>
          <w:tcPr>
            <w:tcW w:w="180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5.70</w:t>
            </w:r>
          </w:p>
        </w:tc>
        <w:tc>
          <w:tcPr>
            <w:tcW w:w="1659" w:type="dxa"/>
            <w:tcBorders>
              <w:top w:val="nil"/>
              <w:left w:val="nil"/>
              <w:bottom w:val="single" w:sz="4" w:space="0" w:color="auto"/>
              <w:right w:val="single" w:sz="4" w:space="0" w:color="auto"/>
            </w:tcBorders>
            <w:shd w:val="clear" w:color="auto" w:fill="auto"/>
            <w:noWrap/>
            <w:vAlign w:val="bottom"/>
            <w:hideMark/>
          </w:tcPr>
          <w:p w:rsidR="009F601F" w:rsidRPr="009F601F" w:rsidRDefault="00EB0ABD" w:rsidP="00CB7747">
            <w:pPr>
              <w:jc w:val="center"/>
              <w:rPr>
                <w:rFonts w:ascii="Calibri" w:eastAsia="Times New Roman" w:hAnsi="Calibri" w:cs="Times New Roman"/>
                <w:color w:val="000000"/>
              </w:rPr>
            </w:pPr>
            <w:r>
              <w:rPr>
                <w:rFonts w:ascii="Calibri" w:eastAsia="Times New Roman" w:hAnsi="Calibri" w:cs="Times New Roman"/>
                <w:color w:val="000000"/>
              </w:rPr>
              <w:t>NA</w:t>
            </w:r>
          </w:p>
        </w:tc>
      </w:tr>
      <w:tr w:rsidR="009F601F" w:rsidRPr="009F601F" w:rsidTr="008B7B3E">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2014</w:t>
            </w:r>
          </w:p>
        </w:tc>
        <w:tc>
          <w:tcPr>
            <w:tcW w:w="126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11.66</w:t>
            </w:r>
          </w:p>
        </w:tc>
        <w:tc>
          <w:tcPr>
            <w:tcW w:w="108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6.85</w:t>
            </w:r>
          </w:p>
        </w:tc>
        <w:tc>
          <w:tcPr>
            <w:tcW w:w="117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23.26</w:t>
            </w:r>
          </w:p>
        </w:tc>
        <w:tc>
          <w:tcPr>
            <w:tcW w:w="1800" w:type="dxa"/>
            <w:tcBorders>
              <w:top w:val="nil"/>
              <w:left w:val="nil"/>
              <w:bottom w:val="single" w:sz="4" w:space="0" w:color="auto"/>
              <w:right w:val="single" w:sz="4" w:space="0" w:color="auto"/>
            </w:tcBorders>
            <w:shd w:val="clear" w:color="auto" w:fill="auto"/>
            <w:noWrap/>
            <w:vAlign w:val="bottom"/>
            <w:hideMark/>
          </w:tcPr>
          <w:p w:rsidR="009F601F" w:rsidRDefault="009F601F" w:rsidP="00CB7747">
            <w:pPr>
              <w:jc w:val="center"/>
              <w:rPr>
                <w:rFonts w:ascii="Calibri" w:eastAsia="Times New Roman" w:hAnsi="Calibri" w:cs="Times New Roman"/>
                <w:color w:val="000000"/>
              </w:rPr>
            </w:pPr>
          </w:p>
          <w:p w:rsidR="00EB0ABD" w:rsidRPr="009F601F" w:rsidRDefault="00625756" w:rsidP="00CB7747">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659"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3.12</w:t>
            </w:r>
          </w:p>
        </w:tc>
      </w:tr>
      <w:tr w:rsidR="009F601F" w:rsidRPr="009F601F" w:rsidTr="008B7B3E">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2015</w:t>
            </w:r>
          </w:p>
        </w:tc>
        <w:tc>
          <w:tcPr>
            <w:tcW w:w="1260" w:type="dxa"/>
            <w:tcBorders>
              <w:top w:val="nil"/>
              <w:left w:val="nil"/>
              <w:bottom w:val="single" w:sz="4" w:space="0" w:color="auto"/>
              <w:right w:val="single" w:sz="4" w:space="0" w:color="auto"/>
            </w:tcBorders>
            <w:shd w:val="clear" w:color="auto" w:fill="auto"/>
            <w:noWrap/>
            <w:vAlign w:val="bottom"/>
            <w:hideMark/>
          </w:tcPr>
          <w:p w:rsidR="009F601F" w:rsidRPr="009F601F" w:rsidRDefault="00290DD7" w:rsidP="00CB7747">
            <w:pPr>
              <w:jc w:val="center"/>
              <w:rPr>
                <w:rFonts w:ascii="Calibri" w:eastAsia="Times New Roman" w:hAnsi="Calibri" w:cs="Times New Roman"/>
                <w:color w:val="000000"/>
              </w:rPr>
            </w:pPr>
            <w:r>
              <w:rPr>
                <w:rFonts w:ascii="Calibri" w:eastAsia="Times New Roman" w:hAnsi="Calibri" w:cs="Times New Roman"/>
                <w:color w:val="000000"/>
              </w:rPr>
              <w:t>9.45</w:t>
            </w:r>
          </w:p>
        </w:tc>
        <w:tc>
          <w:tcPr>
            <w:tcW w:w="108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10.55</w:t>
            </w:r>
          </w:p>
        </w:tc>
        <w:tc>
          <w:tcPr>
            <w:tcW w:w="117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23.40</w:t>
            </w:r>
          </w:p>
        </w:tc>
        <w:tc>
          <w:tcPr>
            <w:tcW w:w="1800" w:type="dxa"/>
            <w:tcBorders>
              <w:top w:val="nil"/>
              <w:left w:val="nil"/>
              <w:bottom w:val="single" w:sz="4" w:space="0" w:color="auto"/>
              <w:right w:val="single" w:sz="4" w:space="0" w:color="auto"/>
            </w:tcBorders>
            <w:shd w:val="clear" w:color="auto" w:fill="auto"/>
            <w:noWrap/>
            <w:vAlign w:val="bottom"/>
            <w:hideMark/>
          </w:tcPr>
          <w:p w:rsidR="009F601F" w:rsidRPr="009F601F" w:rsidRDefault="00EB0ABD" w:rsidP="00CB7747">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659" w:type="dxa"/>
            <w:tcBorders>
              <w:top w:val="nil"/>
              <w:left w:val="nil"/>
              <w:bottom w:val="single" w:sz="4" w:space="0" w:color="auto"/>
              <w:right w:val="single" w:sz="4" w:space="0" w:color="auto"/>
            </w:tcBorders>
            <w:shd w:val="clear" w:color="auto" w:fill="auto"/>
            <w:noWrap/>
            <w:vAlign w:val="bottom"/>
            <w:hideMark/>
          </w:tcPr>
          <w:p w:rsidR="009F601F" w:rsidRPr="009F601F" w:rsidRDefault="00EB0ABD" w:rsidP="00CB7747">
            <w:pPr>
              <w:jc w:val="center"/>
              <w:rPr>
                <w:rFonts w:ascii="Calibri" w:eastAsia="Times New Roman" w:hAnsi="Calibri" w:cs="Times New Roman"/>
                <w:color w:val="000000"/>
              </w:rPr>
            </w:pPr>
            <w:r>
              <w:rPr>
                <w:rFonts w:ascii="Calibri" w:eastAsia="Times New Roman" w:hAnsi="Calibri" w:cs="Times New Roman"/>
                <w:color w:val="000000"/>
              </w:rPr>
              <w:t>NA</w:t>
            </w:r>
          </w:p>
        </w:tc>
      </w:tr>
      <w:tr w:rsidR="009F601F" w:rsidRPr="009F601F" w:rsidTr="008B7B3E">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2016</w:t>
            </w:r>
          </w:p>
        </w:tc>
        <w:tc>
          <w:tcPr>
            <w:tcW w:w="1260" w:type="dxa"/>
            <w:tcBorders>
              <w:top w:val="nil"/>
              <w:left w:val="nil"/>
              <w:bottom w:val="single" w:sz="4" w:space="0" w:color="auto"/>
              <w:right w:val="single" w:sz="4" w:space="0" w:color="auto"/>
            </w:tcBorders>
            <w:shd w:val="clear" w:color="auto" w:fill="auto"/>
            <w:noWrap/>
            <w:vAlign w:val="bottom"/>
            <w:hideMark/>
          </w:tcPr>
          <w:p w:rsidR="009F601F" w:rsidRPr="009F601F" w:rsidRDefault="009F601F" w:rsidP="00CB7747">
            <w:pPr>
              <w:jc w:val="center"/>
              <w:rPr>
                <w:rFonts w:ascii="Calibri" w:eastAsia="Times New Roman" w:hAnsi="Calibri" w:cs="Times New Roman"/>
                <w:color w:val="000000"/>
              </w:rPr>
            </w:pPr>
            <w:r w:rsidRPr="009F601F">
              <w:rPr>
                <w:rFonts w:ascii="Calibri" w:eastAsia="Times New Roman" w:hAnsi="Calibri" w:cs="Times New Roman"/>
                <w:color w:val="000000"/>
              </w:rPr>
              <w:t>9.36</w:t>
            </w:r>
          </w:p>
        </w:tc>
        <w:tc>
          <w:tcPr>
            <w:tcW w:w="1080" w:type="dxa"/>
            <w:tcBorders>
              <w:top w:val="nil"/>
              <w:left w:val="nil"/>
              <w:bottom w:val="single" w:sz="4" w:space="0" w:color="auto"/>
              <w:right w:val="single" w:sz="4" w:space="0" w:color="auto"/>
            </w:tcBorders>
            <w:shd w:val="clear" w:color="auto" w:fill="auto"/>
            <w:noWrap/>
            <w:vAlign w:val="bottom"/>
            <w:hideMark/>
          </w:tcPr>
          <w:p w:rsidR="009F601F" w:rsidRPr="009F601F" w:rsidRDefault="00EB0ABD" w:rsidP="00CB7747">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170" w:type="dxa"/>
            <w:tcBorders>
              <w:top w:val="nil"/>
              <w:left w:val="nil"/>
              <w:bottom w:val="single" w:sz="4" w:space="0" w:color="auto"/>
              <w:right w:val="single" w:sz="4" w:space="0" w:color="auto"/>
            </w:tcBorders>
            <w:shd w:val="clear" w:color="auto" w:fill="auto"/>
            <w:noWrap/>
            <w:vAlign w:val="bottom"/>
            <w:hideMark/>
          </w:tcPr>
          <w:p w:rsidR="009F601F" w:rsidRPr="009F601F" w:rsidRDefault="00EB0ABD" w:rsidP="00CB7747">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800" w:type="dxa"/>
            <w:tcBorders>
              <w:top w:val="nil"/>
              <w:left w:val="nil"/>
              <w:bottom w:val="single" w:sz="4" w:space="0" w:color="auto"/>
              <w:right w:val="single" w:sz="4" w:space="0" w:color="auto"/>
            </w:tcBorders>
            <w:shd w:val="clear" w:color="auto" w:fill="auto"/>
            <w:noWrap/>
            <w:vAlign w:val="bottom"/>
            <w:hideMark/>
          </w:tcPr>
          <w:p w:rsidR="009F601F" w:rsidRPr="009F601F" w:rsidRDefault="00EB0ABD" w:rsidP="00CB7747">
            <w:pPr>
              <w:jc w:val="center"/>
              <w:rPr>
                <w:rFonts w:ascii="Calibri" w:eastAsia="Times New Roman" w:hAnsi="Calibri" w:cs="Times New Roman"/>
                <w:color w:val="000000"/>
              </w:rPr>
            </w:pPr>
            <w:r>
              <w:rPr>
                <w:rFonts w:ascii="Calibri" w:eastAsia="Times New Roman" w:hAnsi="Calibri" w:cs="Times New Roman"/>
                <w:color w:val="000000"/>
              </w:rPr>
              <w:t>NA</w:t>
            </w:r>
          </w:p>
        </w:tc>
        <w:tc>
          <w:tcPr>
            <w:tcW w:w="1659" w:type="dxa"/>
            <w:tcBorders>
              <w:top w:val="nil"/>
              <w:left w:val="nil"/>
              <w:bottom w:val="single" w:sz="4" w:space="0" w:color="auto"/>
              <w:right w:val="single" w:sz="4" w:space="0" w:color="auto"/>
            </w:tcBorders>
            <w:shd w:val="clear" w:color="auto" w:fill="auto"/>
            <w:noWrap/>
            <w:vAlign w:val="bottom"/>
            <w:hideMark/>
          </w:tcPr>
          <w:p w:rsidR="009F601F" w:rsidRPr="009F601F" w:rsidRDefault="00EB0ABD" w:rsidP="00CB7747">
            <w:pPr>
              <w:jc w:val="center"/>
              <w:rPr>
                <w:rFonts w:ascii="Calibri" w:eastAsia="Times New Roman" w:hAnsi="Calibri" w:cs="Times New Roman"/>
                <w:color w:val="000000"/>
              </w:rPr>
            </w:pPr>
            <w:r>
              <w:rPr>
                <w:rFonts w:ascii="Calibri" w:eastAsia="Times New Roman" w:hAnsi="Calibri" w:cs="Times New Roman"/>
                <w:color w:val="000000"/>
              </w:rPr>
              <w:t>NA</w:t>
            </w:r>
          </w:p>
        </w:tc>
      </w:tr>
    </w:tbl>
    <w:p w:rsidR="00CD193E" w:rsidRDefault="00CD193E" w:rsidP="00CB7747">
      <w:pPr>
        <w:pStyle w:val="NoSpacing"/>
        <w:tabs>
          <w:tab w:val="left" w:pos="1320"/>
        </w:tabs>
        <w:jc w:val="center"/>
        <w:rPr>
          <w:rFonts w:ascii="Times New Roman" w:hAnsi="Times New Roman" w:cs="Times New Roman"/>
          <w:sz w:val="24"/>
          <w:szCs w:val="24"/>
        </w:rPr>
      </w:pPr>
    </w:p>
    <w:p w:rsidR="00483985" w:rsidRPr="00215C1B" w:rsidRDefault="00483985" w:rsidP="00CD193E">
      <w:pPr>
        <w:pStyle w:val="NoSpacing"/>
        <w:tabs>
          <w:tab w:val="left" w:pos="1320"/>
        </w:tabs>
        <w:jc w:val="both"/>
        <w:rPr>
          <w:rFonts w:ascii="Times New Roman" w:hAnsi="Times New Roman" w:cs="Times New Roman"/>
          <w:sz w:val="24"/>
          <w:szCs w:val="24"/>
        </w:rPr>
      </w:pPr>
    </w:p>
    <w:p w:rsidR="00AC399F" w:rsidRDefault="0054029F" w:rsidP="00AC399F">
      <w:pPr>
        <w:pStyle w:val="NoSpacing"/>
        <w:tabs>
          <w:tab w:val="left" w:pos="1320"/>
        </w:tabs>
        <w:jc w:val="both"/>
        <w:rPr>
          <w:rFonts w:ascii="Times New Roman" w:hAnsi="Times New Roman" w:cs="Times New Roman"/>
          <w:sz w:val="24"/>
          <w:szCs w:val="24"/>
        </w:rPr>
      </w:pPr>
      <w:r>
        <w:rPr>
          <w:rFonts w:ascii="Times New Roman" w:hAnsi="Times New Roman" w:cs="Times New Roman"/>
          <w:sz w:val="24"/>
          <w:szCs w:val="24"/>
        </w:rPr>
        <w:t xml:space="preserve">A review of </w:t>
      </w:r>
      <w:r w:rsidR="00040CE9">
        <w:rPr>
          <w:rFonts w:ascii="Times New Roman" w:hAnsi="Times New Roman" w:cs="Times New Roman"/>
          <w:sz w:val="24"/>
          <w:szCs w:val="24"/>
        </w:rPr>
        <w:t xml:space="preserve">table 2 </w:t>
      </w:r>
      <w:r w:rsidR="00363562">
        <w:rPr>
          <w:rFonts w:ascii="Times New Roman" w:hAnsi="Times New Roman" w:cs="Times New Roman"/>
          <w:sz w:val="24"/>
          <w:szCs w:val="24"/>
        </w:rPr>
        <w:t>shows that</w:t>
      </w:r>
      <w:r w:rsidR="009F601F">
        <w:rPr>
          <w:rFonts w:ascii="Times New Roman" w:hAnsi="Times New Roman" w:cs="Times New Roman"/>
          <w:sz w:val="24"/>
          <w:szCs w:val="24"/>
        </w:rPr>
        <w:t xml:space="preserve"> DOMLEC’s </w:t>
      </w:r>
      <w:r w:rsidR="00363562">
        <w:rPr>
          <w:rFonts w:ascii="Times New Roman" w:hAnsi="Times New Roman" w:cs="Times New Roman"/>
          <w:sz w:val="24"/>
          <w:szCs w:val="24"/>
        </w:rPr>
        <w:t xml:space="preserve">return on </w:t>
      </w:r>
      <w:r w:rsidR="00040CE9">
        <w:rPr>
          <w:rFonts w:ascii="Times New Roman" w:hAnsi="Times New Roman" w:cs="Times New Roman"/>
          <w:sz w:val="24"/>
          <w:szCs w:val="24"/>
        </w:rPr>
        <w:t>a</w:t>
      </w:r>
      <w:r w:rsidR="00040CE9" w:rsidRPr="00215C1B">
        <w:rPr>
          <w:rFonts w:ascii="Times New Roman" w:hAnsi="Times New Roman" w:cs="Times New Roman"/>
          <w:sz w:val="24"/>
          <w:szCs w:val="24"/>
        </w:rPr>
        <w:t>ssets</w:t>
      </w:r>
      <w:r w:rsidR="00040CE9">
        <w:rPr>
          <w:rFonts w:ascii="Times New Roman" w:hAnsi="Times New Roman" w:cs="Times New Roman"/>
          <w:sz w:val="24"/>
          <w:szCs w:val="24"/>
        </w:rPr>
        <w:t xml:space="preserve"> was</w:t>
      </w:r>
      <w:r w:rsidR="005A43D2">
        <w:rPr>
          <w:rFonts w:ascii="Times New Roman" w:hAnsi="Times New Roman" w:cs="Times New Roman"/>
          <w:sz w:val="24"/>
          <w:szCs w:val="24"/>
        </w:rPr>
        <w:t xml:space="preserve"> relatively</w:t>
      </w:r>
      <w:r w:rsidR="00040CE9">
        <w:rPr>
          <w:rFonts w:ascii="Times New Roman" w:hAnsi="Times New Roman" w:cs="Times New Roman"/>
          <w:sz w:val="24"/>
          <w:szCs w:val="24"/>
        </w:rPr>
        <w:t xml:space="preserve"> low in 2012 and 2013</w:t>
      </w:r>
      <w:r w:rsidR="00625756">
        <w:rPr>
          <w:rFonts w:ascii="Times New Roman" w:hAnsi="Times New Roman" w:cs="Times New Roman"/>
          <w:sz w:val="24"/>
          <w:szCs w:val="24"/>
        </w:rPr>
        <w:t xml:space="preserve"> compared to the </w:t>
      </w:r>
      <w:r w:rsidR="00AC399F">
        <w:rPr>
          <w:rFonts w:ascii="Times New Roman" w:hAnsi="Times New Roman" w:cs="Times New Roman"/>
          <w:sz w:val="24"/>
          <w:szCs w:val="24"/>
        </w:rPr>
        <w:t>OECS comparators</w:t>
      </w:r>
      <w:r w:rsidR="00D01260">
        <w:rPr>
          <w:rFonts w:ascii="Times New Roman" w:hAnsi="Times New Roman" w:cs="Times New Roman"/>
          <w:sz w:val="24"/>
          <w:szCs w:val="24"/>
        </w:rPr>
        <w:t>.</w:t>
      </w:r>
      <w:r w:rsidR="005A43D2">
        <w:rPr>
          <w:rFonts w:ascii="Times New Roman" w:hAnsi="Times New Roman" w:cs="Times New Roman"/>
          <w:sz w:val="24"/>
          <w:szCs w:val="24"/>
        </w:rPr>
        <w:t xml:space="preserve"> </w:t>
      </w:r>
      <w:r w:rsidR="00D01260">
        <w:rPr>
          <w:rFonts w:ascii="Times New Roman" w:hAnsi="Times New Roman" w:cs="Times New Roman"/>
          <w:sz w:val="24"/>
          <w:szCs w:val="24"/>
        </w:rPr>
        <w:t>However, the indicator</w:t>
      </w:r>
      <w:r w:rsidR="005A43D2">
        <w:rPr>
          <w:rFonts w:ascii="Times New Roman" w:hAnsi="Times New Roman" w:cs="Times New Roman"/>
          <w:sz w:val="24"/>
          <w:szCs w:val="24"/>
        </w:rPr>
        <w:t xml:space="preserve"> increased considerably</w:t>
      </w:r>
      <w:r w:rsidR="00040CE9">
        <w:rPr>
          <w:rFonts w:ascii="Times New Roman" w:hAnsi="Times New Roman" w:cs="Times New Roman"/>
          <w:sz w:val="24"/>
          <w:szCs w:val="24"/>
        </w:rPr>
        <w:t xml:space="preserve"> in 2014</w:t>
      </w:r>
      <w:r w:rsidR="00D01260">
        <w:rPr>
          <w:rFonts w:ascii="Times New Roman" w:hAnsi="Times New Roman" w:cs="Times New Roman"/>
          <w:sz w:val="24"/>
          <w:szCs w:val="24"/>
        </w:rPr>
        <w:t xml:space="preserve"> and </w:t>
      </w:r>
      <w:r w:rsidR="00AC399F">
        <w:rPr>
          <w:rFonts w:ascii="Times New Roman" w:hAnsi="Times New Roman" w:cs="Times New Roman"/>
          <w:sz w:val="24"/>
          <w:szCs w:val="24"/>
        </w:rPr>
        <w:t xml:space="preserve">remained </w:t>
      </w:r>
      <w:r w:rsidR="00D01260">
        <w:rPr>
          <w:rFonts w:ascii="Times New Roman" w:hAnsi="Times New Roman" w:cs="Times New Roman"/>
          <w:sz w:val="24"/>
          <w:szCs w:val="24"/>
        </w:rPr>
        <w:t>cons</w:t>
      </w:r>
      <w:r w:rsidR="00AC399F">
        <w:rPr>
          <w:rFonts w:ascii="Times New Roman" w:hAnsi="Times New Roman" w:cs="Times New Roman"/>
          <w:sz w:val="24"/>
          <w:szCs w:val="24"/>
        </w:rPr>
        <w:t>istent</w:t>
      </w:r>
      <w:r w:rsidR="00D01260">
        <w:rPr>
          <w:rFonts w:ascii="Times New Roman" w:hAnsi="Times New Roman" w:cs="Times New Roman"/>
          <w:sz w:val="24"/>
          <w:szCs w:val="24"/>
        </w:rPr>
        <w:t xml:space="preserve"> in 2015 and 2016</w:t>
      </w:r>
      <w:r w:rsidR="00465CAC">
        <w:rPr>
          <w:rFonts w:ascii="Times New Roman" w:hAnsi="Times New Roman" w:cs="Times New Roman"/>
          <w:sz w:val="24"/>
          <w:szCs w:val="24"/>
        </w:rPr>
        <w:t>.</w:t>
      </w:r>
      <w:r w:rsidR="00D01260">
        <w:rPr>
          <w:rFonts w:ascii="Times New Roman" w:hAnsi="Times New Roman" w:cs="Times New Roman"/>
          <w:sz w:val="24"/>
          <w:szCs w:val="24"/>
        </w:rPr>
        <w:t xml:space="preserve"> </w:t>
      </w:r>
      <w:r w:rsidR="00465CAC">
        <w:rPr>
          <w:rFonts w:ascii="Times New Roman" w:hAnsi="Times New Roman" w:cs="Times New Roman"/>
          <w:sz w:val="24"/>
          <w:szCs w:val="24"/>
        </w:rPr>
        <w:t>The</w:t>
      </w:r>
      <w:r w:rsidR="005A43D2">
        <w:rPr>
          <w:rFonts w:ascii="Times New Roman" w:hAnsi="Times New Roman" w:cs="Times New Roman"/>
          <w:sz w:val="24"/>
          <w:szCs w:val="24"/>
        </w:rPr>
        <w:t xml:space="preserve"> company attained a compounded growth rate </w:t>
      </w:r>
      <w:r w:rsidR="00465CAC">
        <w:rPr>
          <w:rFonts w:ascii="Times New Roman" w:hAnsi="Times New Roman" w:cs="Times New Roman"/>
          <w:sz w:val="24"/>
          <w:szCs w:val="24"/>
        </w:rPr>
        <w:t>of 59% from 2012</w:t>
      </w:r>
      <w:r w:rsidR="00363562">
        <w:rPr>
          <w:rFonts w:ascii="Times New Roman" w:hAnsi="Times New Roman" w:cs="Times New Roman"/>
          <w:sz w:val="24"/>
          <w:szCs w:val="24"/>
        </w:rPr>
        <w:t xml:space="preserve"> to 2016. This is an indicati</w:t>
      </w:r>
      <w:r w:rsidR="00FA45C1">
        <w:rPr>
          <w:rFonts w:ascii="Times New Roman" w:hAnsi="Times New Roman" w:cs="Times New Roman"/>
          <w:sz w:val="24"/>
          <w:szCs w:val="24"/>
        </w:rPr>
        <w:t xml:space="preserve">on </w:t>
      </w:r>
      <w:r w:rsidR="00CF077D">
        <w:rPr>
          <w:rFonts w:ascii="Times New Roman" w:hAnsi="Times New Roman" w:cs="Times New Roman"/>
          <w:sz w:val="24"/>
          <w:szCs w:val="24"/>
        </w:rPr>
        <w:t>that management</w:t>
      </w:r>
      <w:r w:rsidR="009A7760">
        <w:rPr>
          <w:rFonts w:ascii="Times New Roman" w:hAnsi="Times New Roman" w:cs="Times New Roman"/>
          <w:sz w:val="24"/>
          <w:szCs w:val="24"/>
        </w:rPr>
        <w:t xml:space="preserve"> utilized the assets</w:t>
      </w:r>
      <w:r w:rsidR="00363562">
        <w:rPr>
          <w:rFonts w:ascii="Times New Roman" w:hAnsi="Times New Roman" w:cs="Times New Roman"/>
          <w:sz w:val="24"/>
          <w:szCs w:val="24"/>
        </w:rPr>
        <w:t xml:space="preserve"> effectively to generate rev</w:t>
      </w:r>
      <w:r w:rsidR="005A43D2">
        <w:rPr>
          <w:rFonts w:ascii="Times New Roman" w:hAnsi="Times New Roman" w:cs="Times New Roman"/>
          <w:sz w:val="24"/>
          <w:szCs w:val="24"/>
        </w:rPr>
        <w:t>enue from normal operation</w:t>
      </w:r>
      <w:r w:rsidR="00AC399F">
        <w:rPr>
          <w:rFonts w:ascii="Times New Roman" w:hAnsi="Times New Roman" w:cs="Times New Roman"/>
          <w:sz w:val="24"/>
          <w:szCs w:val="24"/>
        </w:rPr>
        <w:t>s</w:t>
      </w:r>
      <w:r w:rsidR="00CF077D">
        <w:rPr>
          <w:rFonts w:ascii="Times New Roman" w:hAnsi="Times New Roman" w:cs="Times New Roman"/>
          <w:sz w:val="24"/>
          <w:szCs w:val="24"/>
        </w:rPr>
        <w:t>.</w:t>
      </w:r>
      <w:r w:rsidR="006C3739" w:rsidRPr="006C3739">
        <w:rPr>
          <w:rFonts w:ascii="Times New Roman" w:hAnsi="Times New Roman" w:cs="Times New Roman"/>
          <w:sz w:val="24"/>
          <w:szCs w:val="24"/>
        </w:rPr>
        <w:t xml:space="preserve"> </w:t>
      </w:r>
      <w:r w:rsidR="005A43D2">
        <w:rPr>
          <w:rFonts w:ascii="Times New Roman" w:hAnsi="Times New Roman" w:cs="Times New Roman"/>
          <w:sz w:val="24"/>
          <w:szCs w:val="24"/>
        </w:rPr>
        <w:t>DOMLEC’s most profitable</w:t>
      </w:r>
      <w:r w:rsidR="006C3739">
        <w:rPr>
          <w:rFonts w:ascii="Times New Roman" w:hAnsi="Times New Roman" w:cs="Times New Roman"/>
          <w:sz w:val="24"/>
          <w:szCs w:val="24"/>
        </w:rPr>
        <w:t xml:space="preserve"> year was </w:t>
      </w:r>
      <w:r w:rsidR="00A55544">
        <w:rPr>
          <w:rFonts w:ascii="Times New Roman" w:hAnsi="Times New Roman" w:cs="Times New Roman"/>
          <w:sz w:val="24"/>
          <w:szCs w:val="24"/>
        </w:rPr>
        <w:t>2014 when</w:t>
      </w:r>
      <w:r w:rsidR="00CF077D">
        <w:rPr>
          <w:rFonts w:ascii="Times New Roman" w:hAnsi="Times New Roman" w:cs="Times New Roman"/>
          <w:sz w:val="24"/>
          <w:szCs w:val="24"/>
        </w:rPr>
        <w:t xml:space="preserve"> profit stood at </w:t>
      </w:r>
      <w:r w:rsidR="009A7760">
        <w:rPr>
          <w:rFonts w:ascii="Times New Roman" w:hAnsi="Times New Roman" w:cs="Times New Roman"/>
          <w:sz w:val="24"/>
          <w:szCs w:val="24"/>
        </w:rPr>
        <w:t>$14</w:t>
      </w:r>
      <w:r w:rsidR="00FE3A36">
        <w:rPr>
          <w:rFonts w:ascii="Times New Roman" w:hAnsi="Times New Roman" w:cs="Times New Roman"/>
          <w:sz w:val="24"/>
          <w:szCs w:val="24"/>
        </w:rPr>
        <w:t>.</w:t>
      </w:r>
      <w:r w:rsidR="009A7760">
        <w:rPr>
          <w:rFonts w:ascii="Times New Roman" w:hAnsi="Times New Roman" w:cs="Times New Roman"/>
          <w:sz w:val="24"/>
          <w:szCs w:val="24"/>
        </w:rPr>
        <w:t>8</w:t>
      </w:r>
      <w:r w:rsidR="00FE3A36">
        <w:rPr>
          <w:rFonts w:ascii="Times New Roman" w:hAnsi="Times New Roman" w:cs="Times New Roman"/>
          <w:sz w:val="24"/>
          <w:szCs w:val="24"/>
        </w:rPr>
        <w:t xml:space="preserve"> million</w:t>
      </w:r>
      <w:r w:rsidR="00BE2238">
        <w:rPr>
          <w:rFonts w:ascii="Times New Roman" w:hAnsi="Times New Roman" w:cs="Times New Roman"/>
          <w:sz w:val="24"/>
          <w:szCs w:val="24"/>
        </w:rPr>
        <w:t xml:space="preserve">.  </w:t>
      </w:r>
      <w:r w:rsidR="006C3739">
        <w:rPr>
          <w:rFonts w:ascii="Times New Roman" w:hAnsi="Times New Roman" w:cs="Times New Roman"/>
          <w:sz w:val="24"/>
          <w:szCs w:val="24"/>
        </w:rPr>
        <w:t xml:space="preserve"> </w:t>
      </w:r>
      <w:bookmarkStart w:id="10" w:name="_Toc485128739"/>
    </w:p>
    <w:p w:rsidR="00AC399F" w:rsidRDefault="00AC399F" w:rsidP="00AC399F">
      <w:pPr>
        <w:pStyle w:val="NoSpacing"/>
        <w:tabs>
          <w:tab w:val="left" w:pos="1320"/>
        </w:tabs>
        <w:jc w:val="both"/>
        <w:rPr>
          <w:rFonts w:ascii="Times New Roman" w:hAnsi="Times New Roman" w:cs="Times New Roman"/>
          <w:sz w:val="24"/>
          <w:szCs w:val="24"/>
        </w:rPr>
      </w:pPr>
    </w:p>
    <w:p w:rsidR="004E7D0D" w:rsidRPr="00AC399F" w:rsidRDefault="00AC399F" w:rsidP="00AC399F">
      <w:pPr>
        <w:pStyle w:val="NoSpacing"/>
        <w:tabs>
          <w:tab w:val="left" w:pos="1320"/>
        </w:tabs>
        <w:jc w:val="both"/>
        <w:rPr>
          <w:rFonts w:ascii="Times New Roman" w:hAnsi="Times New Roman" w:cs="Times New Roman"/>
          <w:sz w:val="24"/>
          <w:szCs w:val="24"/>
          <w:u w:val="single"/>
        </w:rPr>
      </w:pPr>
      <w:r w:rsidRPr="00AC399F">
        <w:rPr>
          <w:rFonts w:ascii="Times New Roman" w:hAnsi="Times New Roman" w:cs="Times New Roman"/>
          <w:b/>
          <w:sz w:val="24"/>
          <w:szCs w:val="24"/>
        </w:rPr>
        <w:t>C.</w:t>
      </w:r>
      <w:r>
        <w:rPr>
          <w:rFonts w:ascii="Times New Roman" w:hAnsi="Times New Roman" w:cs="Times New Roman"/>
          <w:sz w:val="24"/>
          <w:szCs w:val="24"/>
        </w:rPr>
        <w:t xml:space="preserve"> </w:t>
      </w:r>
      <w:r w:rsidR="004E7D0D" w:rsidRPr="004A0896">
        <w:rPr>
          <w:rFonts w:ascii="Times New Roman" w:hAnsi="Times New Roman" w:cs="Times New Roman"/>
          <w:b/>
          <w:sz w:val="24"/>
          <w:szCs w:val="24"/>
        </w:rPr>
        <w:t>Return on Equity</w:t>
      </w:r>
      <w:bookmarkEnd w:id="10"/>
    </w:p>
    <w:p w:rsidR="00A5356E" w:rsidRPr="00D74602" w:rsidRDefault="00A5356E" w:rsidP="004138AE">
      <w:pPr>
        <w:pStyle w:val="NoSpacing"/>
        <w:tabs>
          <w:tab w:val="left" w:pos="1320"/>
        </w:tabs>
        <w:jc w:val="both"/>
        <w:rPr>
          <w:rFonts w:ascii="Times New Roman" w:hAnsi="Times New Roman" w:cs="Times New Roman"/>
          <w:b/>
          <w:sz w:val="24"/>
          <w:szCs w:val="24"/>
          <w:u w:val="single"/>
        </w:rPr>
      </w:pPr>
    </w:p>
    <w:p w:rsidR="005B0022" w:rsidRDefault="005B0022" w:rsidP="004138AE">
      <w:pPr>
        <w:pStyle w:val="NoSpacing"/>
        <w:tabs>
          <w:tab w:val="left" w:pos="1320"/>
        </w:tabs>
        <w:jc w:val="both"/>
        <w:rPr>
          <w:rFonts w:ascii="Times New Roman" w:hAnsi="Times New Roman" w:cs="Times New Roman"/>
          <w:color w:val="000000"/>
          <w:sz w:val="24"/>
          <w:szCs w:val="24"/>
          <w:shd w:val="clear" w:color="auto" w:fill="FFFFFF"/>
        </w:rPr>
      </w:pPr>
      <w:r w:rsidRPr="00082B40">
        <w:rPr>
          <w:rFonts w:ascii="Times New Roman" w:hAnsi="Times New Roman" w:cs="Times New Roman"/>
          <w:color w:val="000000"/>
          <w:sz w:val="24"/>
          <w:szCs w:val="24"/>
          <w:shd w:val="clear" w:color="auto" w:fill="FFFFFF"/>
        </w:rPr>
        <w:t>Ret</w:t>
      </w:r>
      <w:r w:rsidR="00F70755">
        <w:rPr>
          <w:rFonts w:ascii="Times New Roman" w:hAnsi="Times New Roman" w:cs="Times New Roman"/>
          <w:color w:val="000000"/>
          <w:sz w:val="24"/>
          <w:szCs w:val="24"/>
          <w:shd w:val="clear" w:color="auto" w:fill="FFFFFF"/>
        </w:rPr>
        <w:t>urn on equity measures how well a company utilizes shareholders funds to generate profit</w:t>
      </w:r>
      <w:r w:rsidR="000A2A3B">
        <w:rPr>
          <w:rFonts w:ascii="Times New Roman" w:hAnsi="Times New Roman" w:cs="Times New Roman"/>
          <w:color w:val="000000"/>
          <w:sz w:val="24"/>
          <w:szCs w:val="24"/>
          <w:shd w:val="clear" w:color="auto" w:fill="FFFFFF"/>
        </w:rPr>
        <w:t xml:space="preserve">. </w:t>
      </w:r>
      <w:r w:rsidR="00F70755">
        <w:rPr>
          <w:rFonts w:ascii="Times New Roman" w:hAnsi="Times New Roman" w:cs="Times New Roman"/>
          <w:color w:val="000000"/>
          <w:sz w:val="24"/>
          <w:szCs w:val="24"/>
          <w:shd w:val="clear" w:color="auto" w:fill="FFFFFF"/>
        </w:rPr>
        <w:t xml:space="preserve">It should be higher than the cost of capital. </w:t>
      </w:r>
      <w:r w:rsidRPr="00082B40">
        <w:rPr>
          <w:rFonts w:ascii="Times New Roman" w:hAnsi="Times New Roman" w:cs="Times New Roman"/>
          <w:color w:val="000000"/>
          <w:sz w:val="24"/>
          <w:szCs w:val="24"/>
          <w:shd w:val="clear" w:color="auto" w:fill="FFFFFF"/>
        </w:rPr>
        <w:t>The ratio is calculated as:</w:t>
      </w:r>
    </w:p>
    <w:p w:rsidR="005B0022" w:rsidRDefault="005B0022"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5B0022" w:rsidP="004138AE">
      <w:pPr>
        <w:pStyle w:val="NoSpacing"/>
        <w:tabs>
          <w:tab w:val="left" w:pos="132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Return on Equity = Net Income/Shareholders Equity</w:t>
      </w: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8408A2" w:rsidRDefault="008408A2" w:rsidP="004138AE">
      <w:pPr>
        <w:pStyle w:val="NoSpacing"/>
        <w:tabs>
          <w:tab w:val="left" w:pos="1320"/>
        </w:tabs>
        <w:jc w:val="both"/>
        <w:rPr>
          <w:rFonts w:ascii="Times New Roman" w:hAnsi="Times New Roman" w:cs="Times New Roman"/>
          <w:color w:val="000000"/>
          <w:sz w:val="24"/>
          <w:szCs w:val="24"/>
          <w:shd w:val="clear" w:color="auto" w:fill="FFFFFF"/>
        </w:rPr>
      </w:pPr>
    </w:p>
    <w:p w:rsidR="00984F30" w:rsidRDefault="00984F30" w:rsidP="004138AE">
      <w:pPr>
        <w:pStyle w:val="NoSpacing"/>
        <w:tabs>
          <w:tab w:val="left" w:pos="1320"/>
        </w:tabs>
        <w:jc w:val="both"/>
        <w:rPr>
          <w:rFonts w:ascii="Times New Roman" w:hAnsi="Times New Roman" w:cs="Times New Roman"/>
          <w:color w:val="000000"/>
          <w:sz w:val="24"/>
          <w:szCs w:val="24"/>
          <w:shd w:val="clear" w:color="auto" w:fill="FFFFFF"/>
        </w:rPr>
      </w:pPr>
    </w:p>
    <w:p w:rsidR="008408A2" w:rsidRDefault="008408A2" w:rsidP="004138AE">
      <w:pPr>
        <w:pStyle w:val="NoSpacing"/>
        <w:tabs>
          <w:tab w:val="left" w:pos="1320"/>
        </w:tabs>
        <w:jc w:val="both"/>
        <w:rPr>
          <w:rFonts w:ascii="Times New Roman" w:hAnsi="Times New Roman" w:cs="Times New Roman"/>
          <w:b/>
          <w:color w:val="000000"/>
          <w:sz w:val="24"/>
          <w:szCs w:val="24"/>
          <w:shd w:val="clear" w:color="auto" w:fill="FFFFFF"/>
        </w:rPr>
      </w:pPr>
    </w:p>
    <w:p w:rsidR="00A95A92" w:rsidRDefault="008408A2" w:rsidP="004138AE">
      <w:pPr>
        <w:pStyle w:val="NoSpacing"/>
        <w:tabs>
          <w:tab w:val="left" w:pos="1320"/>
        </w:tabs>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A95A92" w:rsidRPr="00A95A92">
        <w:rPr>
          <w:rFonts w:ascii="Times New Roman" w:hAnsi="Times New Roman" w:cs="Times New Roman"/>
          <w:b/>
          <w:color w:val="000000"/>
          <w:sz w:val="24"/>
          <w:szCs w:val="24"/>
          <w:shd w:val="clear" w:color="auto" w:fill="FFFFFF"/>
        </w:rPr>
        <w:t>Table 3- Return on Equity 2012 to 2016</w:t>
      </w:r>
    </w:p>
    <w:p w:rsidR="00EB210D" w:rsidRDefault="00EB210D" w:rsidP="004138AE">
      <w:pPr>
        <w:pStyle w:val="NoSpacing"/>
        <w:tabs>
          <w:tab w:val="left" w:pos="1320"/>
        </w:tabs>
        <w:jc w:val="both"/>
        <w:rPr>
          <w:rFonts w:ascii="Times New Roman" w:hAnsi="Times New Roman" w:cs="Times New Roman"/>
          <w:b/>
          <w:color w:val="000000"/>
          <w:sz w:val="24"/>
          <w:szCs w:val="24"/>
          <w:shd w:val="clear" w:color="auto" w:fill="FFFFFF"/>
        </w:rPr>
      </w:pPr>
    </w:p>
    <w:p w:rsidR="00EB210D" w:rsidRDefault="00EB210D" w:rsidP="004138AE">
      <w:pPr>
        <w:pStyle w:val="NoSpacing"/>
        <w:tabs>
          <w:tab w:val="left" w:pos="1320"/>
        </w:tabs>
        <w:jc w:val="both"/>
        <w:rPr>
          <w:rFonts w:ascii="Times New Roman" w:hAnsi="Times New Roman" w:cs="Times New Roman"/>
          <w:color w:val="000000"/>
          <w:sz w:val="24"/>
          <w:szCs w:val="24"/>
          <w:shd w:val="clear" w:color="auto" w:fill="FFFFFF"/>
        </w:rPr>
      </w:pPr>
    </w:p>
    <w:p w:rsidR="00EB210D" w:rsidRDefault="00EB210D" w:rsidP="004138AE">
      <w:pPr>
        <w:pStyle w:val="NoSpacing"/>
        <w:tabs>
          <w:tab w:val="left" w:pos="1320"/>
        </w:tabs>
        <w:jc w:val="both"/>
        <w:rPr>
          <w:rFonts w:ascii="Times New Roman" w:hAnsi="Times New Roman" w:cs="Times New Roman"/>
          <w:color w:val="000000"/>
          <w:sz w:val="24"/>
          <w:szCs w:val="24"/>
          <w:shd w:val="clear" w:color="auto" w:fill="FFFFFF"/>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620"/>
        <w:gridCol w:w="1890"/>
        <w:gridCol w:w="2160"/>
      </w:tblGrid>
      <w:tr w:rsidR="00EB210D" w:rsidTr="008B7B3E">
        <w:trPr>
          <w:trHeight w:val="454"/>
        </w:trPr>
        <w:tc>
          <w:tcPr>
            <w:tcW w:w="1080" w:type="dxa"/>
          </w:tcPr>
          <w:p w:rsidR="00EB210D" w:rsidRDefault="00EB210D" w:rsidP="00EB210D">
            <w:pPr>
              <w:pStyle w:val="NoSpacing"/>
              <w:tabs>
                <w:tab w:val="left" w:pos="1320"/>
              </w:tabs>
              <w:jc w:val="both"/>
              <w:rPr>
                <w:rFonts w:ascii="Times New Roman" w:hAnsi="Times New Roman" w:cs="Times New Roman"/>
                <w:color w:val="000000"/>
                <w:sz w:val="24"/>
                <w:szCs w:val="24"/>
                <w:shd w:val="clear" w:color="auto" w:fill="FFFFFF"/>
              </w:rPr>
            </w:pPr>
          </w:p>
          <w:p w:rsidR="00EB210D" w:rsidRDefault="00EB210D" w:rsidP="00EB210D">
            <w:pPr>
              <w:pStyle w:val="NoSpacing"/>
              <w:tabs>
                <w:tab w:val="left" w:pos="1320"/>
              </w:tabs>
              <w:jc w:val="both"/>
              <w:rPr>
                <w:rFonts w:ascii="Times New Roman" w:hAnsi="Times New Roman" w:cs="Times New Roman"/>
                <w:color w:val="000000"/>
                <w:sz w:val="24"/>
                <w:szCs w:val="24"/>
                <w:shd w:val="clear" w:color="auto" w:fill="FFFFFF"/>
              </w:rPr>
            </w:pPr>
          </w:p>
        </w:tc>
        <w:tc>
          <w:tcPr>
            <w:tcW w:w="5670" w:type="dxa"/>
            <w:gridSpan w:val="3"/>
            <w:shd w:val="clear" w:color="auto" w:fill="auto"/>
          </w:tcPr>
          <w:p w:rsidR="00EB210D" w:rsidRDefault="00EB210D">
            <w:pPr>
              <w:rPr>
                <w:rFonts w:ascii="Times New Roman" w:hAnsi="Times New Roman" w:cs="Times New Roman"/>
                <w:color w:val="000000"/>
                <w:sz w:val="24"/>
                <w:szCs w:val="24"/>
                <w:shd w:val="clear" w:color="auto" w:fill="FFFFFF"/>
              </w:rPr>
            </w:pPr>
          </w:p>
          <w:p w:rsidR="00EB210D" w:rsidRPr="00EB210D" w:rsidRDefault="00EB210D" w:rsidP="0049426C">
            <w:pPr>
              <w:jc w:val="center"/>
              <w:rPr>
                <w:rFonts w:ascii="Times New Roman" w:hAnsi="Times New Roman" w:cs="Times New Roman"/>
                <w:b/>
                <w:color w:val="000000"/>
                <w:sz w:val="24"/>
                <w:szCs w:val="24"/>
                <w:shd w:val="clear" w:color="auto" w:fill="FFFFFF"/>
              </w:rPr>
            </w:pPr>
            <w:r w:rsidRPr="00EB210D">
              <w:rPr>
                <w:rFonts w:ascii="Times New Roman" w:hAnsi="Times New Roman" w:cs="Times New Roman"/>
                <w:b/>
                <w:color w:val="000000"/>
                <w:sz w:val="24"/>
                <w:szCs w:val="24"/>
                <w:shd w:val="clear" w:color="auto" w:fill="FFFFFF"/>
              </w:rPr>
              <w:t>Return on Equity %</w:t>
            </w:r>
          </w:p>
        </w:tc>
      </w:tr>
      <w:tr w:rsidR="00D01260" w:rsidRPr="00C46D52" w:rsidTr="008B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4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b/>
                <w:bCs/>
                <w:color w:val="000000"/>
              </w:rPr>
            </w:pPr>
            <w:r w:rsidRPr="00C46D52">
              <w:rPr>
                <w:rFonts w:ascii="Calibri" w:eastAsia="Times New Roman" w:hAnsi="Calibri" w:cs="Times New Roman"/>
                <w:b/>
                <w:bCs/>
                <w:color w:val="000000"/>
              </w:rPr>
              <w:t>Years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b/>
                <w:bCs/>
                <w:color w:val="000000"/>
              </w:rPr>
            </w:pPr>
            <w:r w:rsidRPr="00C46D52">
              <w:rPr>
                <w:rFonts w:ascii="Calibri" w:eastAsia="Times New Roman" w:hAnsi="Calibri" w:cs="Times New Roman"/>
                <w:b/>
                <w:bCs/>
                <w:color w:val="000000"/>
              </w:rPr>
              <w:t>DOMLEC</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b/>
                <w:bCs/>
                <w:color w:val="000000"/>
              </w:rPr>
            </w:pPr>
            <w:r w:rsidRPr="00C46D52">
              <w:rPr>
                <w:rFonts w:ascii="Calibri" w:eastAsia="Times New Roman" w:hAnsi="Calibri" w:cs="Times New Roman"/>
                <w:b/>
                <w:bCs/>
                <w:color w:val="000000"/>
              </w:rPr>
              <w:t>LUCELEC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b/>
                <w:bCs/>
                <w:color w:val="000000"/>
              </w:rPr>
            </w:pPr>
            <w:r w:rsidRPr="00C46D52">
              <w:rPr>
                <w:rFonts w:ascii="Calibri" w:eastAsia="Times New Roman" w:hAnsi="Calibri" w:cs="Times New Roman"/>
                <w:b/>
                <w:bCs/>
                <w:color w:val="000000"/>
              </w:rPr>
              <w:t xml:space="preserve"> GRENLEC</w:t>
            </w:r>
          </w:p>
        </w:tc>
      </w:tr>
      <w:tr w:rsidR="00D01260" w:rsidRPr="00C46D52" w:rsidTr="008B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sidRPr="00C46D52">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sidRPr="00C46D52">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sidRPr="00C46D5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sidRPr="00C46D52">
              <w:rPr>
                <w:rFonts w:ascii="Calibri" w:eastAsia="Times New Roman" w:hAnsi="Calibri" w:cs="Times New Roman"/>
                <w:color w:val="000000"/>
              </w:rPr>
              <w:t> </w:t>
            </w:r>
          </w:p>
        </w:tc>
      </w:tr>
      <w:tr w:rsidR="00D01260" w:rsidRPr="00C46D52" w:rsidTr="008B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Pr>
                <w:rFonts w:ascii="Calibri" w:eastAsia="Times New Roman" w:hAnsi="Calibri" w:cs="Times New Roman"/>
                <w:color w:val="000000"/>
              </w:rPr>
              <w:t>2012</w:t>
            </w:r>
          </w:p>
        </w:tc>
        <w:tc>
          <w:tcPr>
            <w:tcW w:w="162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12.05</w:t>
            </w:r>
          </w:p>
        </w:tc>
        <w:tc>
          <w:tcPr>
            <w:tcW w:w="189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14.12</w:t>
            </w:r>
          </w:p>
        </w:tc>
        <w:tc>
          <w:tcPr>
            <w:tcW w:w="216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18.96</w:t>
            </w:r>
          </w:p>
        </w:tc>
      </w:tr>
      <w:tr w:rsidR="00D01260" w:rsidRPr="00C46D52" w:rsidTr="008B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sidRPr="00C46D52">
              <w:rPr>
                <w:rFonts w:ascii="Calibri" w:eastAsia="Times New Roman" w:hAnsi="Calibri" w:cs="Times New Roman"/>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11.79</w:t>
            </w:r>
          </w:p>
        </w:tc>
        <w:tc>
          <w:tcPr>
            <w:tcW w:w="189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10.75</w:t>
            </w:r>
          </w:p>
        </w:tc>
        <w:tc>
          <w:tcPr>
            <w:tcW w:w="216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19</w:t>
            </w:r>
          </w:p>
        </w:tc>
      </w:tr>
      <w:tr w:rsidR="00D01260" w:rsidRPr="00C46D52" w:rsidTr="008B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sidRPr="00C46D52">
              <w:rPr>
                <w:rFonts w:ascii="Calibri" w:eastAsia="Times New Roman" w:hAnsi="Calibri" w:cs="Times New Roman"/>
                <w:color w:val="000000"/>
              </w:rPr>
              <w:t>2014</w:t>
            </w:r>
          </w:p>
        </w:tc>
        <w:tc>
          <w:tcPr>
            <w:tcW w:w="162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17.11</w:t>
            </w:r>
          </w:p>
        </w:tc>
        <w:tc>
          <w:tcPr>
            <w:tcW w:w="189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11.86</w:t>
            </w:r>
          </w:p>
        </w:tc>
        <w:tc>
          <w:tcPr>
            <w:tcW w:w="216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20.56</w:t>
            </w:r>
          </w:p>
        </w:tc>
      </w:tr>
      <w:tr w:rsidR="00D01260" w:rsidRPr="00C46D52" w:rsidTr="008B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sidRPr="00C46D52">
              <w:rPr>
                <w:rFonts w:ascii="Calibri" w:eastAsia="Times New Roman" w:hAnsi="Calibri" w:cs="Times New Roman"/>
                <w:color w:val="000000"/>
              </w:rPr>
              <w:t>2015</w:t>
            </w:r>
          </w:p>
        </w:tc>
        <w:tc>
          <w:tcPr>
            <w:tcW w:w="162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12.95</w:t>
            </w:r>
          </w:p>
        </w:tc>
        <w:tc>
          <w:tcPr>
            <w:tcW w:w="189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14.43</w:t>
            </w:r>
          </w:p>
        </w:tc>
        <w:tc>
          <w:tcPr>
            <w:tcW w:w="216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17.89</w:t>
            </w:r>
          </w:p>
        </w:tc>
      </w:tr>
      <w:tr w:rsidR="00D01260" w:rsidRPr="00C46D52" w:rsidTr="008B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r w:rsidRPr="00C46D52">
              <w:rPr>
                <w:rFonts w:ascii="Calibri" w:eastAsia="Times New Roman" w:hAnsi="Calibri" w:cs="Times New Roman"/>
                <w:color w:val="000000"/>
              </w:rPr>
              <w:t>2016</w:t>
            </w:r>
          </w:p>
        </w:tc>
        <w:tc>
          <w:tcPr>
            <w:tcW w:w="1620" w:type="dxa"/>
            <w:tcBorders>
              <w:top w:val="nil"/>
              <w:left w:val="nil"/>
              <w:bottom w:val="single" w:sz="4" w:space="0" w:color="auto"/>
              <w:right w:val="single" w:sz="4" w:space="0" w:color="auto"/>
            </w:tcBorders>
            <w:shd w:val="clear" w:color="auto" w:fill="auto"/>
            <w:noWrap/>
            <w:vAlign w:val="bottom"/>
            <w:hideMark/>
          </w:tcPr>
          <w:p w:rsidR="00D01260" w:rsidRPr="00C46D52" w:rsidRDefault="0049426C" w:rsidP="0049426C">
            <w:pPr>
              <w:jc w:val="center"/>
              <w:rPr>
                <w:rFonts w:ascii="Calibri" w:eastAsia="Times New Roman" w:hAnsi="Calibri" w:cs="Times New Roman"/>
                <w:color w:val="000000"/>
              </w:rPr>
            </w:pPr>
            <w:r>
              <w:rPr>
                <w:rFonts w:ascii="Calibri" w:eastAsia="Times New Roman" w:hAnsi="Calibri" w:cs="Times New Roman"/>
                <w:color w:val="000000"/>
              </w:rPr>
              <w:t>12.45</w:t>
            </w:r>
          </w:p>
        </w:tc>
        <w:tc>
          <w:tcPr>
            <w:tcW w:w="1890" w:type="dxa"/>
            <w:tcBorders>
              <w:top w:val="nil"/>
              <w:left w:val="nil"/>
              <w:bottom w:val="single" w:sz="4" w:space="0" w:color="auto"/>
              <w:right w:val="single" w:sz="4" w:space="0" w:color="auto"/>
            </w:tcBorders>
            <w:shd w:val="clear" w:color="auto" w:fill="auto"/>
            <w:noWrap/>
            <w:vAlign w:val="bottom"/>
            <w:hideMark/>
          </w:tcPr>
          <w:p w:rsidR="00D01260" w:rsidRPr="00C46D52" w:rsidRDefault="00D01260" w:rsidP="0049426C">
            <w:pPr>
              <w:jc w:val="center"/>
              <w:rPr>
                <w:rFonts w:ascii="Calibri" w:eastAsia="Times New Roman" w:hAnsi="Calibri" w:cs="Times New Roman"/>
                <w:color w:val="000000"/>
              </w:rPr>
            </w:pPr>
            <w:r>
              <w:rPr>
                <w:rFonts w:ascii="Calibri" w:eastAsia="Times New Roman" w:hAnsi="Calibri" w:cs="Times New Roman"/>
                <w:color w:val="000000"/>
              </w:rPr>
              <w:t>NA</w:t>
            </w:r>
          </w:p>
        </w:tc>
        <w:tc>
          <w:tcPr>
            <w:tcW w:w="2160" w:type="dxa"/>
            <w:tcBorders>
              <w:top w:val="nil"/>
              <w:left w:val="nil"/>
              <w:bottom w:val="single" w:sz="4" w:space="0" w:color="auto"/>
              <w:right w:val="single" w:sz="4" w:space="0" w:color="auto"/>
            </w:tcBorders>
            <w:shd w:val="clear" w:color="auto" w:fill="auto"/>
            <w:noWrap/>
            <w:vAlign w:val="bottom"/>
            <w:hideMark/>
          </w:tcPr>
          <w:p w:rsidR="00D01260" w:rsidRPr="00C46D52" w:rsidRDefault="00D01260" w:rsidP="0049426C">
            <w:pPr>
              <w:jc w:val="center"/>
              <w:rPr>
                <w:rFonts w:ascii="Calibri" w:eastAsia="Times New Roman" w:hAnsi="Calibri" w:cs="Times New Roman"/>
                <w:color w:val="000000"/>
              </w:rPr>
            </w:pPr>
            <w:r>
              <w:rPr>
                <w:rFonts w:ascii="Calibri" w:eastAsia="Times New Roman" w:hAnsi="Calibri" w:cs="Times New Roman"/>
                <w:color w:val="000000"/>
              </w:rPr>
              <w:t>NA</w:t>
            </w:r>
          </w:p>
        </w:tc>
      </w:tr>
      <w:tr w:rsidR="00D01260" w:rsidRPr="00C46D52" w:rsidTr="008B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4"/>
        </w:trPr>
        <w:tc>
          <w:tcPr>
            <w:tcW w:w="1080" w:type="dxa"/>
            <w:tcBorders>
              <w:top w:val="nil"/>
              <w:left w:val="nil"/>
              <w:bottom w:val="nil"/>
              <w:right w:val="nil"/>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D01260" w:rsidRPr="00C46D52" w:rsidRDefault="00D01260" w:rsidP="004138AE">
            <w:pPr>
              <w:rPr>
                <w:rFonts w:ascii="Calibri" w:eastAsia="Times New Roman" w:hAnsi="Calibri" w:cs="Times New Roman"/>
                <w:color w:val="000000"/>
              </w:rPr>
            </w:pPr>
          </w:p>
        </w:tc>
      </w:tr>
    </w:tbl>
    <w:p w:rsidR="00C46D52" w:rsidRDefault="00C46D52" w:rsidP="004138AE">
      <w:pPr>
        <w:pStyle w:val="NoSpacing"/>
        <w:tabs>
          <w:tab w:val="left" w:pos="1320"/>
        </w:tabs>
        <w:jc w:val="both"/>
        <w:rPr>
          <w:rFonts w:ascii="Times New Roman" w:hAnsi="Times New Roman" w:cs="Times New Roman"/>
          <w:sz w:val="24"/>
          <w:szCs w:val="24"/>
        </w:rPr>
      </w:pPr>
    </w:p>
    <w:p w:rsidR="00B67CA6" w:rsidRDefault="00A95A92" w:rsidP="004138AE">
      <w:pPr>
        <w:pStyle w:val="NoSpacing"/>
        <w:tabs>
          <w:tab w:val="left" w:pos="1320"/>
        </w:tabs>
        <w:jc w:val="both"/>
        <w:rPr>
          <w:rFonts w:ascii="Times New Roman" w:hAnsi="Times New Roman" w:cs="Times New Roman"/>
          <w:sz w:val="24"/>
          <w:szCs w:val="24"/>
          <w:u w:val="single"/>
        </w:rPr>
      </w:pPr>
      <w:r>
        <w:rPr>
          <w:rFonts w:ascii="Times New Roman" w:hAnsi="Times New Roman" w:cs="Times New Roman"/>
          <w:sz w:val="24"/>
          <w:szCs w:val="24"/>
        </w:rPr>
        <w:t xml:space="preserve">DOMLEC’s </w:t>
      </w:r>
      <w:r w:rsidR="00AC399F">
        <w:rPr>
          <w:rFonts w:ascii="Times New Roman" w:hAnsi="Times New Roman" w:cs="Times New Roman"/>
          <w:sz w:val="24"/>
          <w:szCs w:val="24"/>
        </w:rPr>
        <w:t>r</w:t>
      </w:r>
      <w:r>
        <w:rPr>
          <w:rFonts w:ascii="Times New Roman" w:hAnsi="Times New Roman" w:cs="Times New Roman"/>
          <w:sz w:val="24"/>
          <w:szCs w:val="24"/>
        </w:rPr>
        <w:t>eturn on e</w:t>
      </w:r>
      <w:r w:rsidR="005B0022">
        <w:rPr>
          <w:rFonts w:ascii="Times New Roman" w:hAnsi="Times New Roman" w:cs="Times New Roman"/>
          <w:sz w:val="24"/>
          <w:szCs w:val="24"/>
        </w:rPr>
        <w:t xml:space="preserve">quity </w:t>
      </w:r>
      <w:r w:rsidR="00D01260">
        <w:rPr>
          <w:rFonts w:ascii="Times New Roman" w:hAnsi="Times New Roman" w:cs="Times New Roman"/>
          <w:sz w:val="24"/>
          <w:szCs w:val="24"/>
        </w:rPr>
        <w:t>was fairly consistent from 201</w:t>
      </w:r>
      <w:r w:rsidR="00AC399F">
        <w:rPr>
          <w:rFonts w:ascii="Times New Roman" w:hAnsi="Times New Roman" w:cs="Times New Roman"/>
          <w:sz w:val="24"/>
          <w:szCs w:val="24"/>
        </w:rPr>
        <w:t>2</w:t>
      </w:r>
      <w:r w:rsidR="00D01260">
        <w:rPr>
          <w:rFonts w:ascii="Times New Roman" w:hAnsi="Times New Roman" w:cs="Times New Roman"/>
          <w:sz w:val="24"/>
          <w:szCs w:val="24"/>
        </w:rPr>
        <w:t xml:space="preserve"> to 2016</w:t>
      </w:r>
      <w:r w:rsidR="00AC399F">
        <w:rPr>
          <w:rFonts w:ascii="Times New Roman" w:hAnsi="Times New Roman" w:cs="Times New Roman"/>
          <w:sz w:val="24"/>
          <w:szCs w:val="24"/>
        </w:rPr>
        <w:t>,</w:t>
      </w:r>
      <w:r w:rsidR="00D01260">
        <w:rPr>
          <w:rFonts w:ascii="Times New Roman" w:hAnsi="Times New Roman" w:cs="Times New Roman"/>
          <w:sz w:val="24"/>
          <w:szCs w:val="24"/>
        </w:rPr>
        <w:t xml:space="preserve"> except</w:t>
      </w:r>
      <w:r w:rsidR="00AC399F">
        <w:rPr>
          <w:rFonts w:ascii="Times New Roman" w:hAnsi="Times New Roman" w:cs="Times New Roman"/>
          <w:sz w:val="24"/>
          <w:szCs w:val="24"/>
        </w:rPr>
        <w:t xml:space="preserve"> for</w:t>
      </w:r>
      <w:r w:rsidR="00D01260">
        <w:rPr>
          <w:rFonts w:ascii="Times New Roman" w:hAnsi="Times New Roman" w:cs="Times New Roman"/>
          <w:sz w:val="24"/>
          <w:szCs w:val="24"/>
        </w:rPr>
        <w:t xml:space="preserve"> 2014</w:t>
      </w:r>
      <w:r w:rsidR="00AC399F">
        <w:rPr>
          <w:rFonts w:ascii="Times New Roman" w:hAnsi="Times New Roman" w:cs="Times New Roman"/>
          <w:sz w:val="24"/>
          <w:szCs w:val="24"/>
        </w:rPr>
        <w:t>,</w:t>
      </w:r>
      <w:r w:rsidR="00D01260">
        <w:rPr>
          <w:rFonts w:ascii="Times New Roman" w:hAnsi="Times New Roman" w:cs="Times New Roman"/>
          <w:sz w:val="24"/>
          <w:szCs w:val="24"/>
        </w:rPr>
        <w:t xml:space="preserve"> when it was much higher.  </w:t>
      </w:r>
      <w:r w:rsidR="00FE3A36">
        <w:rPr>
          <w:rFonts w:ascii="Times New Roman" w:hAnsi="Times New Roman" w:cs="Times New Roman"/>
          <w:sz w:val="24"/>
          <w:szCs w:val="24"/>
        </w:rPr>
        <w:t>A</w:t>
      </w:r>
      <w:r w:rsidR="00D01260">
        <w:rPr>
          <w:rFonts w:ascii="Times New Roman" w:hAnsi="Times New Roman" w:cs="Times New Roman"/>
          <w:sz w:val="24"/>
          <w:szCs w:val="24"/>
        </w:rPr>
        <w:t xml:space="preserve"> compounded </w:t>
      </w:r>
      <w:r w:rsidR="00FE3A36">
        <w:rPr>
          <w:rFonts w:ascii="Times New Roman" w:hAnsi="Times New Roman" w:cs="Times New Roman"/>
          <w:sz w:val="24"/>
          <w:szCs w:val="24"/>
        </w:rPr>
        <w:t xml:space="preserve">growth </w:t>
      </w:r>
      <w:r w:rsidR="00D01260">
        <w:rPr>
          <w:rFonts w:ascii="Times New Roman" w:hAnsi="Times New Roman" w:cs="Times New Roman"/>
          <w:sz w:val="24"/>
          <w:szCs w:val="24"/>
        </w:rPr>
        <w:t>of</w:t>
      </w:r>
      <w:r w:rsidR="005B0022">
        <w:rPr>
          <w:rFonts w:ascii="Times New Roman" w:hAnsi="Times New Roman" w:cs="Times New Roman"/>
          <w:sz w:val="24"/>
          <w:szCs w:val="24"/>
        </w:rPr>
        <w:t xml:space="preserve"> 14.76% </w:t>
      </w:r>
      <w:r w:rsidR="00FE3A36">
        <w:rPr>
          <w:rFonts w:ascii="Times New Roman" w:hAnsi="Times New Roman" w:cs="Times New Roman"/>
          <w:sz w:val="24"/>
          <w:szCs w:val="24"/>
        </w:rPr>
        <w:t>was achieved f</w:t>
      </w:r>
      <w:r w:rsidR="005B0022">
        <w:rPr>
          <w:rFonts w:ascii="Times New Roman" w:hAnsi="Times New Roman" w:cs="Times New Roman"/>
          <w:sz w:val="24"/>
          <w:szCs w:val="24"/>
        </w:rPr>
        <w:t>rom 2012 to 2016.</w:t>
      </w:r>
      <w:r w:rsidR="005B0022" w:rsidRPr="00AB0535">
        <w:rPr>
          <w:rFonts w:ascii="Times New Roman" w:hAnsi="Times New Roman" w:cs="Times New Roman"/>
          <w:sz w:val="24"/>
          <w:szCs w:val="24"/>
        </w:rPr>
        <w:t xml:space="preserve"> </w:t>
      </w:r>
      <w:r w:rsidR="00B67CA6">
        <w:rPr>
          <w:rFonts w:ascii="Times New Roman" w:hAnsi="Times New Roman" w:cs="Times New Roman"/>
          <w:sz w:val="24"/>
          <w:szCs w:val="24"/>
        </w:rPr>
        <w:t>T</w:t>
      </w:r>
      <w:r w:rsidR="00E3326E">
        <w:rPr>
          <w:rFonts w:ascii="Times New Roman" w:hAnsi="Times New Roman" w:cs="Times New Roman"/>
          <w:sz w:val="24"/>
          <w:szCs w:val="24"/>
        </w:rPr>
        <w:t>his indicator signals to</w:t>
      </w:r>
      <w:r w:rsidR="00FA45C1">
        <w:rPr>
          <w:rFonts w:ascii="Times New Roman" w:hAnsi="Times New Roman" w:cs="Times New Roman"/>
          <w:sz w:val="24"/>
          <w:szCs w:val="24"/>
        </w:rPr>
        <w:t xml:space="preserve"> potential </w:t>
      </w:r>
      <w:r w:rsidR="00D01260">
        <w:rPr>
          <w:rFonts w:ascii="Times New Roman" w:hAnsi="Times New Roman" w:cs="Times New Roman"/>
          <w:sz w:val="24"/>
          <w:szCs w:val="24"/>
        </w:rPr>
        <w:t>investors and</w:t>
      </w:r>
      <w:r w:rsidR="00B67CA6">
        <w:rPr>
          <w:rFonts w:ascii="Times New Roman" w:hAnsi="Times New Roman" w:cs="Times New Roman"/>
          <w:sz w:val="24"/>
          <w:szCs w:val="24"/>
        </w:rPr>
        <w:t xml:space="preserve"> shareholders </w:t>
      </w:r>
      <w:r w:rsidR="00FA45C1">
        <w:rPr>
          <w:rFonts w:ascii="Times New Roman" w:hAnsi="Times New Roman" w:cs="Times New Roman"/>
          <w:sz w:val="24"/>
          <w:szCs w:val="24"/>
        </w:rPr>
        <w:t>that the company</w:t>
      </w:r>
      <w:r w:rsidR="00CD09D4">
        <w:rPr>
          <w:rFonts w:ascii="Times New Roman" w:hAnsi="Times New Roman" w:cs="Times New Roman"/>
          <w:sz w:val="24"/>
          <w:szCs w:val="24"/>
        </w:rPr>
        <w:t>’s</w:t>
      </w:r>
      <w:r w:rsidR="00FA45C1">
        <w:rPr>
          <w:rFonts w:ascii="Times New Roman" w:hAnsi="Times New Roman" w:cs="Times New Roman"/>
          <w:sz w:val="24"/>
          <w:szCs w:val="24"/>
        </w:rPr>
        <w:t xml:space="preserve"> </w:t>
      </w:r>
      <w:r w:rsidR="0003645E">
        <w:rPr>
          <w:rFonts w:ascii="Times New Roman" w:hAnsi="Times New Roman" w:cs="Times New Roman"/>
          <w:sz w:val="24"/>
          <w:szCs w:val="24"/>
        </w:rPr>
        <w:t>financial performance is</w:t>
      </w:r>
      <w:r w:rsidR="00CD09D4">
        <w:rPr>
          <w:rFonts w:ascii="Times New Roman" w:hAnsi="Times New Roman" w:cs="Times New Roman"/>
          <w:sz w:val="24"/>
          <w:szCs w:val="24"/>
        </w:rPr>
        <w:t xml:space="preserve"> st</w:t>
      </w:r>
      <w:r w:rsidR="00E3326E">
        <w:rPr>
          <w:rFonts w:ascii="Times New Roman" w:hAnsi="Times New Roman" w:cs="Times New Roman"/>
          <w:sz w:val="24"/>
          <w:szCs w:val="24"/>
        </w:rPr>
        <w:t xml:space="preserve">rong. </w:t>
      </w:r>
      <w:r w:rsidR="00CD09D4">
        <w:rPr>
          <w:rFonts w:ascii="Times New Roman" w:hAnsi="Times New Roman" w:cs="Times New Roman"/>
          <w:sz w:val="24"/>
          <w:szCs w:val="24"/>
        </w:rPr>
        <w:t xml:space="preserve">It also implies that shareholders can </w:t>
      </w:r>
      <w:r w:rsidR="00E3326E">
        <w:rPr>
          <w:rFonts w:ascii="Times New Roman" w:hAnsi="Times New Roman" w:cs="Times New Roman"/>
          <w:sz w:val="24"/>
          <w:szCs w:val="24"/>
        </w:rPr>
        <w:t xml:space="preserve">expect </w:t>
      </w:r>
      <w:r w:rsidR="00CD09D4">
        <w:rPr>
          <w:rFonts w:ascii="Times New Roman" w:hAnsi="Times New Roman" w:cs="Times New Roman"/>
          <w:sz w:val="24"/>
          <w:szCs w:val="24"/>
        </w:rPr>
        <w:t>reasonable return</w:t>
      </w:r>
      <w:r w:rsidR="00E3326E">
        <w:rPr>
          <w:rFonts w:ascii="Times New Roman" w:hAnsi="Times New Roman" w:cs="Times New Roman"/>
          <w:sz w:val="24"/>
          <w:szCs w:val="24"/>
        </w:rPr>
        <w:t>s</w:t>
      </w:r>
      <w:r w:rsidR="00CD09D4">
        <w:rPr>
          <w:rFonts w:ascii="Times New Roman" w:hAnsi="Times New Roman" w:cs="Times New Roman"/>
          <w:sz w:val="24"/>
          <w:szCs w:val="24"/>
        </w:rPr>
        <w:t xml:space="preserve"> on</w:t>
      </w:r>
      <w:r w:rsidR="00AA264E">
        <w:rPr>
          <w:rFonts w:ascii="Times New Roman" w:hAnsi="Times New Roman" w:cs="Times New Roman"/>
          <w:sz w:val="24"/>
          <w:szCs w:val="24"/>
        </w:rPr>
        <w:t xml:space="preserve"> </w:t>
      </w:r>
      <w:r w:rsidR="00CD09D4">
        <w:rPr>
          <w:rFonts w:ascii="Times New Roman" w:hAnsi="Times New Roman" w:cs="Times New Roman"/>
          <w:sz w:val="24"/>
          <w:szCs w:val="24"/>
        </w:rPr>
        <w:t xml:space="preserve">investment because </w:t>
      </w:r>
      <w:r w:rsidR="00787B3F">
        <w:rPr>
          <w:rFonts w:ascii="Times New Roman" w:hAnsi="Times New Roman" w:cs="Times New Roman"/>
          <w:sz w:val="24"/>
          <w:szCs w:val="24"/>
        </w:rPr>
        <w:t>their funds</w:t>
      </w:r>
      <w:r w:rsidR="00CD09D4">
        <w:rPr>
          <w:rFonts w:ascii="Times New Roman" w:hAnsi="Times New Roman" w:cs="Times New Roman"/>
          <w:sz w:val="24"/>
          <w:szCs w:val="24"/>
        </w:rPr>
        <w:t xml:space="preserve"> were used </w:t>
      </w:r>
      <w:r w:rsidR="00787B3F">
        <w:rPr>
          <w:rFonts w:ascii="Times New Roman" w:hAnsi="Times New Roman" w:cs="Times New Roman"/>
          <w:sz w:val="24"/>
          <w:szCs w:val="24"/>
        </w:rPr>
        <w:t>effectively to</w:t>
      </w:r>
      <w:r w:rsidR="00CD09D4">
        <w:rPr>
          <w:rFonts w:ascii="Times New Roman" w:hAnsi="Times New Roman" w:cs="Times New Roman"/>
          <w:sz w:val="24"/>
          <w:szCs w:val="24"/>
        </w:rPr>
        <w:t xml:space="preserve"> generat</w:t>
      </w:r>
      <w:r w:rsidR="00E3326E">
        <w:rPr>
          <w:rFonts w:ascii="Times New Roman" w:hAnsi="Times New Roman" w:cs="Times New Roman"/>
          <w:sz w:val="24"/>
          <w:szCs w:val="24"/>
        </w:rPr>
        <w:t>e</w:t>
      </w:r>
      <w:r w:rsidR="00B67CA6">
        <w:rPr>
          <w:rFonts w:ascii="Times New Roman" w:hAnsi="Times New Roman" w:cs="Times New Roman"/>
          <w:sz w:val="24"/>
          <w:szCs w:val="24"/>
        </w:rPr>
        <w:t xml:space="preserve"> profit</w:t>
      </w:r>
      <w:r w:rsidR="00AC399F">
        <w:rPr>
          <w:rFonts w:ascii="Times New Roman" w:hAnsi="Times New Roman" w:cs="Times New Roman"/>
          <w:sz w:val="24"/>
          <w:szCs w:val="24"/>
        </w:rPr>
        <w:t>s</w:t>
      </w:r>
      <w:r w:rsidR="00B67CA6">
        <w:rPr>
          <w:rFonts w:ascii="Times New Roman" w:hAnsi="Times New Roman" w:cs="Times New Roman"/>
          <w:sz w:val="24"/>
          <w:szCs w:val="24"/>
        </w:rPr>
        <w:t>.  In fact</w:t>
      </w:r>
      <w:r w:rsidR="00D01260">
        <w:rPr>
          <w:rFonts w:ascii="Times New Roman" w:hAnsi="Times New Roman" w:cs="Times New Roman"/>
          <w:sz w:val="24"/>
          <w:szCs w:val="24"/>
        </w:rPr>
        <w:t>, the company realized high profit level</w:t>
      </w:r>
      <w:r w:rsidR="00AC399F">
        <w:rPr>
          <w:rFonts w:ascii="Times New Roman" w:hAnsi="Times New Roman" w:cs="Times New Roman"/>
          <w:sz w:val="24"/>
          <w:szCs w:val="24"/>
        </w:rPr>
        <w:t>s</w:t>
      </w:r>
      <w:r w:rsidR="00D01260">
        <w:rPr>
          <w:rFonts w:ascii="Times New Roman" w:hAnsi="Times New Roman" w:cs="Times New Roman"/>
          <w:sz w:val="24"/>
          <w:szCs w:val="24"/>
        </w:rPr>
        <w:t xml:space="preserve"> from 2014 to 2016.</w:t>
      </w:r>
    </w:p>
    <w:p w:rsidR="000441EB" w:rsidRDefault="000441EB" w:rsidP="004138AE">
      <w:pPr>
        <w:pStyle w:val="NoSpacing"/>
        <w:tabs>
          <w:tab w:val="left" w:pos="1320"/>
        </w:tabs>
        <w:jc w:val="both"/>
        <w:outlineLvl w:val="1"/>
        <w:rPr>
          <w:rFonts w:ascii="Times New Roman" w:hAnsi="Times New Roman" w:cs="Times New Roman"/>
          <w:b/>
        </w:rPr>
      </w:pPr>
    </w:p>
    <w:p w:rsidR="004E7D0D" w:rsidRPr="000007EC" w:rsidRDefault="000007EC" w:rsidP="004138AE">
      <w:pPr>
        <w:pStyle w:val="NoSpacing"/>
        <w:tabs>
          <w:tab w:val="left" w:pos="1320"/>
        </w:tabs>
        <w:jc w:val="both"/>
        <w:outlineLvl w:val="1"/>
        <w:rPr>
          <w:rFonts w:ascii="Times New Roman" w:hAnsi="Times New Roman" w:cs="Times New Roman"/>
          <w:b/>
        </w:rPr>
      </w:pPr>
      <w:bookmarkStart w:id="11" w:name="_Toc485128740"/>
      <w:r w:rsidRPr="000007EC">
        <w:rPr>
          <w:rFonts w:ascii="Times New Roman" w:hAnsi="Times New Roman" w:cs="Times New Roman"/>
          <w:b/>
        </w:rPr>
        <w:t xml:space="preserve">2.2 </w:t>
      </w:r>
      <w:r w:rsidR="004E7D0D" w:rsidRPr="007E5E94">
        <w:rPr>
          <w:rFonts w:ascii="Times New Roman" w:hAnsi="Times New Roman" w:cs="Times New Roman"/>
          <w:b/>
          <w:u w:val="single"/>
        </w:rPr>
        <w:t>CAPITAL STURCTURE</w:t>
      </w:r>
      <w:bookmarkEnd w:id="11"/>
      <w:r w:rsidR="004E7D0D" w:rsidRPr="000007EC">
        <w:rPr>
          <w:rFonts w:ascii="Times New Roman" w:hAnsi="Times New Roman" w:cs="Times New Roman"/>
          <w:b/>
        </w:rPr>
        <w:t xml:space="preserve"> </w:t>
      </w:r>
    </w:p>
    <w:p w:rsidR="00CB6F60" w:rsidRDefault="00CB6F60" w:rsidP="004138AE">
      <w:pPr>
        <w:pStyle w:val="NoSpacing"/>
        <w:tabs>
          <w:tab w:val="left" w:pos="1320"/>
        </w:tabs>
        <w:jc w:val="both"/>
        <w:rPr>
          <w:rFonts w:ascii="Times New Roman" w:hAnsi="Times New Roman" w:cs="Times New Roman"/>
          <w:b/>
          <w:sz w:val="24"/>
          <w:szCs w:val="24"/>
          <w:u w:val="single"/>
        </w:rPr>
      </w:pPr>
    </w:p>
    <w:p w:rsidR="00493DD8" w:rsidRDefault="00CB6F60" w:rsidP="004138AE">
      <w:pPr>
        <w:pStyle w:val="NoSpacing"/>
        <w:tabs>
          <w:tab w:val="left" w:pos="1320"/>
        </w:tabs>
        <w:jc w:val="both"/>
        <w:rPr>
          <w:rFonts w:ascii="Times New Roman" w:hAnsi="Times New Roman" w:cs="Times New Roman"/>
          <w:sz w:val="24"/>
          <w:szCs w:val="24"/>
        </w:rPr>
      </w:pPr>
      <w:r>
        <w:rPr>
          <w:rFonts w:ascii="Times New Roman" w:hAnsi="Times New Roman" w:cs="Times New Roman"/>
          <w:sz w:val="24"/>
          <w:szCs w:val="24"/>
        </w:rPr>
        <w:t>Capital structure refers</w:t>
      </w:r>
      <w:r w:rsidR="00AA264E">
        <w:rPr>
          <w:rFonts w:ascii="Times New Roman" w:hAnsi="Times New Roman" w:cs="Times New Roman"/>
          <w:sz w:val="24"/>
          <w:szCs w:val="24"/>
        </w:rPr>
        <w:t xml:space="preserve"> to the way</w:t>
      </w:r>
      <w:r w:rsidR="000441EB">
        <w:rPr>
          <w:rFonts w:ascii="Times New Roman" w:hAnsi="Times New Roman" w:cs="Times New Roman"/>
          <w:sz w:val="24"/>
          <w:szCs w:val="24"/>
        </w:rPr>
        <w:t xml:space="preserve"> in which</w:t>
      </w:r>
      <w:r w:rsidR="00EF49A2">
        <w:rPr>
          <w:rFonts w:ascii="Times New Roman" w:hAnsi="Times New Roman" w:cs="Times New Roman"/>
          <w:sz w:val="24"/>
          <w:szCs w:val="24"/>
        </w:rPr>
        <w:t xml:space="preserve"> a company</w:t>
      </w:r>
      <w:r w:rsidR="00493DD8">
        <w:rPr>
          <w:rFonts w:ascii="Times New Roman" w:hAnsi="Times New Roman" w:cs="Times New Roman"/>
          <w:sz w:val="24"/>
          <w:szCs w:val="24"/>
        </w:rPr>
        <w:t xml:space="preserve"> finances</w:t>
      </w:r>
      <w:r w:rsidR="00EF49A2">
        <w:rPr>
          <w:rFonts w:ascii="Times New Roman" w:hAnsi="Times New Roman" w:cs="Times New Roman"/>
          <w:sz w:val="24"/>
          <w:szCs w:val="24"/>
        </w:rPr>
        <w:t xml:space="preserve"> its</w:t>
      </w:r>
      <w:r w:rsidR="000A2A3B">
        <w:rPr>
          <w:rFonts w:ascii="Times New Roman" w:hAnsi="Times New Roman" w:cs="Times New Roman"/>
          <w:sz w:val="24"/>
          <w:szCs w:val="24"/>
        </w:rPr>
        <w:t xml:space="preserve"> operation</w:t>
      </w:r>
      <w:r>
        <w:rPr>
          <w:rFonts w:ascii="Times New Roman" w:hAnsi="Times New Roman" w:cs="Times New Roman"/>
          <w:sz w:val="24"/>
          <w:szCs w:val="24"/>
        </w:rPr>
        <w:t>.  It is made up of a mix of debt a</w:t>
      </w:r>
      <w:r w:rsidR="000A2A3B">
        <w:rPr>
          <w:rFonts w:ascii="Times New Roman" w:hAnsi="Times New Roman" w:cs="Times New Roman"/>
          <w:sz w:val="24"/>
          <w:szCs w:val="24"/>
        </w:rPr>
        <w:t>nd equity</w:t>
      </w:r>
      <w:r w:rsidR="0081178E">
        <w:rPr>
          <w:rFonts w:ascii="Times New Roman" w:hAnsi="Times New Roman" w:cs="Times New Roman"/>
          <w:sz w:val="24"/>
          <w:szCs w:val="24"/>
        </w:rPr>
        <w:t>. T</w:t>
      </w:r>
      <w:r w:rsidR="008233F2">
        <w:rPr>
          <w:rFonts w:ascii="Times New Roman" w:hAnsi="Times New Roman" w:cs="Times New Roman"/>
          <w:sz w:val="24"/>
          <w:szCs w:val="24"/>
        </w:rPr>
        <w:t>he</w:t>
      </w:r>
      <w:r>
        <w:rPr>
          <w:rFonts w:ascii="Times New Roman" w:hAnsi="Times New Roman" w:cs="Times New Roman"/>
          <w:sz w:val="24"/>
          <w:szCs w:val="24"/>
        </w:rPr>
        <w:t xml:space="preserve"> </w:t>
      </w:r>
      <w:r w:rsidR="006E08BC">
        <w:rPr>
          <w:rFonts w:ascii="Times New Roman" w:hAnsi="Times New Roman" w:cs="Times New Roman"/>
          <w:sz w:val="24"/>
          <w:szCs w:val="24"/>
        </w:rPr>
        <w:t>indicator analyzed in</w:t>
      </w:r>
      <w:r w:rsidR="0081178E">
        <w:rPr>
          <w:rFonts w:ascii="Times New Roman" w:hAnsi="Times New Roman" w:cs="Times New Roman"/>
          <w:sz w:val="24"/>
          <w:szCs w:val="24"/>
        </w:rPr>
        <w:t xml:space="preserve"> the report </w:t>
      </w:r>
      <w:r w:rsidR="007D6604">
        <w:rPr>
          <w:rFonts w:ascii="Times New Roman" w:hAnsi="Times New Roman" w:cs="Times New Roman"/>
          <w:sz w:val="24"/>
          <w:szCs w:val="24"/>
        </w:rPr>
        <w:t>is the</w:t>
      </w:r>
      <w:r w:rsidR="006E08BC">
        <w:rPr>
          <w:rFonts w:ascii="Times New Roman" w:hAnsi="Times New Roman" w:cs="Times New Roman"/>
          <w:sz w:val="24"/>
          <w:szCs w:val="24"/>
        </w:rPr>
        <w:t xml:space="preserve"> </w:t>
      </w:r>
      <w:r w:rsidR="00D26309">
        <w:rPr>
          <w:rFonts w:ascii="Times New Roman" w:hAnsi="Times New Roman" w:cs="Times New Roman"/>
          <w:sz w:val="24"/>
          <w:szCs w:val="24"/>
        </w:rPr>
        <w:t>debt to capital ratio</w:t>
      </w:r>
      <w:r w:rsidR="00EF49A2">
        <w:rPr>
          <w:rFonts w:ascii="Times New Roman" w:hAnsi="Times New Roman" w:cs="Times New Roman"/>
          <w:sz w:val="24"/>
          <w:szCs w:val="24"/>
        </w:rPr>
        <w:t>.</w:t>
      </w:r>
    </w:p>
    <w:p w:rsidR="00CB6F60" w:rsidRDefault="00CB6F60" w:rsidP="004138AE">
      <w:pPr>
        <w:pStyle w:val="NoSpacing"/>
        <w:tabs>
          <w:tab w:val="left" w:pos="1320"/>
        </w:tabs>
        <w:jc w:val="both"/>
        <w:rPr>
          <w:rFonts w:ascii="Times New Roman" w:hAnsi="Times New Roman" w:cs="Times New Roman"/>
          <w:sz w:val="24"/>
          <w:szCs w:val="24"/>
        </w:rPr>
      </w:pPr>
    </w:p>
    <w:p w:rsidR="004E7D0D" w:rsidRPr="000007EC" w:rsidRDefault="00E322B0" w:rsidP="00AC399F">
      <w:pPr>
        <w:pStyle w:val="NoSpacing"/>
        <w:jc w:val="both"/>
        <w:outlineLvl w:val="2"/>
        <w:rPr>
          <w:rFonts w:ascii="Times New Roman" w:hAnsi="Times New Roman" w:cs="Times New Roman"/>
          <w:b/>
          <w:sz w:val="24"/>
          <w:szCs w:val="24"/>
        </w:rPr>
      </w:pPr>
      <w:bookmarkStart w:id="12" w:name="_Toc485128741"/>
      <w:r w:rsidRPr="000007EC">
        <w:rPr>
          <w:rFonts w:ascii="Times New Roman" w:hAnsi="Times New Roman" w:cs="Times New Roman"/>
          <w:b/>
          <w:sz w:val="24"/>
          <w:szCs w:val="24"/>
        </w:rPr>
        <w:t>Debt</w:t>
      </w:r>
      <w:r w:rsidR="00E11A85">
        <w:rPr>
          <w:rFonts w:ascii="Times New Roman" w:hAnsi="Times New Roman" w:cs="Times New Roman"/>
          <w:b/>
          <w:sz w:val="24"/>
          <w:szCs w:val="24"/>
        </w:rPr>
        <w:t xml:space="preserve"> to</w:t>
      </w:r>
      <w:r w:rsidR="00DB41FF" w:rsidRPr="000007EC">
        <w:rPr>
          <w:rFonts w:ascii="Times New Roman" w:hAnsi="Times New Roman" w:cs="Times New Roman"/>
          <w:b/>
          <w:sz w:val="24"/>
          <w:szCs w:val="24"/>
        </w:rPr>
        <w:t xml:space="preserve"> Capital</w:t>
      </w:r>
      <w:r w:rsidR="00D26309" w:rsidRPr="000007EC">
        <w:rPr>
          <w:rFonts w:ascii="Times New Roman" w:hAnsi="Times New Roman" w:cs="Times New Roman"/>
          <w:b/>
          <w:sz w:val="24"/>
          <w:szCs w:val="24"/>
        </w:rPr>
        <w:t xml:space="preserve"> Ratio</w:t>
      </w:r>
      <w:bookmarkEnd w:id="12"/>
    </w:p>
    <w:p w:rsidR="003F354B" w:rsidRPr="000007EC" w:rsidRDefault="003F354B" w:rsidP="004138AE">
      <w:pPr>
        <w:pStyle w:val="NoSpacing"/>
        <w:jc w:val="both"/>
        <w:rPr>
          <w:rFonts w:ascii="Times New Roman" w:hAnsi="Times New Roman" w:cs="Times New Roman"/>
          <w:b/>
          <w:sz w:val="24"/>
          <w:szCs w:val="24"/>
        </w:rPr>
      </w:pPr>
    </w:p>
    <w:p w:rsidR="00D0230D" w:rsidRDefault="005B0022" w:rsidP="004138AE">
      <w:pPr>
        <w:pStyle w:val="NoSpacing"/>
        <w:jc w:val="both"/>
        <w:rPr>
          <w:rFonts w:ascii="Times New Roman" w:hAnsi="Times New Roman" w:cs="Times New Roman"/>
          <w:sz w:val="24"/>
          <w:szCs w:val="24"/>
        </w:rPr>
      </w:pPr>
      <w:r>
        <w:rPr>
          <w:rFonts w:ascii="Times New Roman" w:hAnsi="Times New Roman" w:cs="Times New Roman"/>
          <w:sz w:val="24"/>
          <w:szCs w:val="24"/>
        </w:rPr>
        <w:t>De</w:t>
      </w:r>
      <w:r w:rsidR="00E11A85">
        <w:rPr>
          <w:rFonts w:ascii="Times New Roman" w:hAnsi="Times New Roman" w:cs="Times New Roman"/>
          <w:sz w:val="24"/>
          <w:szCs w:val="24"/>
        </w:rPr>
        <w:t>bt to Capital Ratio measures the extent to which a</w:t>
      </w:r>
      <w:r>
        <w:rPr>
          <w:rFonts w:ascii="Times New Roman" w:hAnsi="Times New Roman" w:cs="Times New Roman"/>
          <w:sz w:val="24"/>
          <w:szCs w:val="24"/>
        </w:rPr>
        <w:t xml:space="preserve"> company is dependent on debt to finance its daily operations</w:t>
      </w:r>
      <w:r w:rsidR="00FE3A36">
        <w:rPr>
          <w:rFonts w:ascii="Times New Roman" w:hAnsi="Times New Roman" w:cs="Times New Roman"/>
          <w:sz w:val="24"/>
          <w:szCs w:val="24"/>
        </w:rPr>
        <w:t>,</w:t>
      </w:r>
      <w:r>
        <w:rPr>
          <w:rFonts w:ascii="Times New Roman" w:hAnsi="Times New Roman" w:cs="Times New Roman"/>
          <w:sz w:val="24"/>
          <w:szCs w:val="24"/>
        </w:rPr>
        <w:t xml:space="preserve"> and </w:t>
      </w:r>
      <w:r w:rsidR="00FE3A36">
        <w:rPr>
          <w:rFonts w:ascii="Times New Roman" w:hAnsi="Times New Roman" w:cs="Times New Roman"/>
          <w:sz w:val="24"/>
          <w:szCs w:val="24"/>
        </w:rPr>
        <w:t>gives an indication of</w:t>
      </w:r>
      <w:r>
        <w:rPr>
          <w:rFonts w:ascii="Times New Roman" w:hAnsi="Times New Roman" w:cs="Times New Roman"/>
          <w:sz w:val="24"/>
          <w:szCs w:val="24"/>
        </w:rPr>
        <w:t xml:space="preserve"> the </w:t>
      </w:r>
      <w:r w:rsidR="00FE3A36">
        <w:rPr>
          <w:rFonts w:ascii="Times New Roman" w:hAnsi="Times New Roman" w:cs="Times New Roman"/>
          <w:sz w:val="24"/>
          <w:szCs w:val="24"/>
        </w:rPr>
        <w:t>l</w:t>
      </w:r>
      <w:r>
        <w:rPr>
          <w:rFonts w:ascii="Times New Roman" w:hAnsi="Times New Roman" w:cs="Times New Roman"/>
          <w:sz w:val="24"/>
          <w:szCs w:val="24"/>
        </w:rPr>
        <w:t xml:space="preserve">evel </w:t>
      </w:r>
      <w:r w:rsidR="00FE3A36">
        <w:rPr>
          <w:rFonts w:ascii="Times New Roman" w:hAnsi="Times New Roman" w:cs="Times New Roman"/>
          <w:sz w:val="24"/>
          <w:szCs w:val="24"/>
        </w:rPr>
        <w:t xml:space="preserve">of risk </w:t>
      </w:r>
      <w:r>
        <w:rPr>
          <w:rFonts w:ascii="Times New Roman" w:hAnsi="Times New Roman" w:cs="Times New Roman"/>
          <w:sz w:val="24"/>
          <w:szCs w:val="24"/>
        </w:rPr>
        <w:t xml:space="preserve">to the utility’s shareholders.  </w:t>
      </w:r>
    </w:p>
    <w:p w:rsidR="00D0230D" w:rsidRDefault="00D0230D" w:rsidP="004138AE">
      <w:pPr>
        <w:pStyle w:val="NoSpacing"/>
        <w:jc w:val="both"/>
        <w:rPr>
          <w:rFonts w:ascii="Times New Roman" w:hAnsi="Times New Roman" w:cs="Times New Roman"/>
          <w:sz w:val="24"/>
          <w:szCs w:val="24"/>
        </w:rPr>
      </w:pPr>
    </w:p>
    <w:p w:rsidR="005B0022" w:rsidRDefault="005B0022" w:rsidP="004138AE">
      <w:pPr>
        <w:pStyle w:val="NoSpacing"/>
        <w:jc w:val="both"/>
        <w:rPr>
          <w:rFonts w:ascii="Times New Roman" w:hAnsi="Times New Roman" w:cs="Times New Roman"/>
          <w:sz w:val="24"/>
          <w:szCs w:val="24"/>
        </w:rPr>
      </w:pPr>
      <w:r>
        <w:rPr>
          <w:rFonts w:ascii="Times New Roman" w:hAnsi="Times New Roman" w:cs="Times New Roman"/>
          <w:sz w:val="24"/>
          <w:szCs w:val="24"/>
        </w:rPr>
        <w:t>The ratio is calculated as:-</w:t>
      </w:r>
    </w:p>
    <w:p w:rsidR="005B0022" w:rsidRDefault="005B0022" w:rsidP="004138AE">
      <w:pPr>
        <w:pStyle w:val="NoSpacing"/>
        <w:jc w:val="both"/>
        <w:rPr>
          <w:rFonts w:ascii="Times New Roman" w:hAnsi="Times New Roman" w:cs="Times New Roman"/>
          <w:sz w:val="24"/>
          <w:szCs w:val="24"/>
        </w:rPr>
      </w:pPr>
    </w:p>
    <w:p w:rsidR="005B0022" w:rsidRDefault="005B0022"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Debt </w:t>
      </w:r>
      <w:r w:rsidR="00FE3A36">
        <w:rPr>
          <w:rFonts w:ascii="Times New Roman" w:hAnsi="Times New Roman" w:cs="Times New Roman"/>
          <w:sz w:val="24"/>
          <w:szCs w:val="24"/>
        </w:rPr>
        <w:t xml:space="preserve">to Capital </w:t>
      </w:r>
      <w:r>
        <w:rPr>
          <w:rFonts w:ascii="Times New Roman" w:hAnsi="Times New Roman" w:cs="Times New Roman"/>
          <w:sz w:val="24"/>
          <w:szCs w:val="24"/>
        </w:rPr>
        <w:t>Ratio = Debt</w:t>
      </w:r>
      <w:r w:rsidR="008666F1">
        <w:rPr>
          <w:rFonts w:ascii="Times New Roman" w:hAnsi="Times New Roman" w:cs="Times New Roman"/>
          <w:sz w:val="24"/>
          <w:szCs w:val="24"/>
        </w:rPr>
        <w:t xml:space="preserve"> </w:t>
      </w:r>
      <w:r>
        <w:rPr>
          <w:rFonts w:ascii="Times New Roman" w:hAnsi="Times New Roman" w:cs="Times New Roman"/>
          <w:sz w:val="24"/>
          <w:szCs w:val="24"/>
        </w:rPr>
        <w:t>/(Debt + Shareholder’s Equity)</w:t>
      </w:r>
    </w:p>
    <w:p w:rsidR="005B0022" w:rsidRDefault="005B0022" w:rsidP="004138AE">
      <w:pPr>
        <w:pStyle w:val="NoSpacing"/>
        <w:jc w:val="both"/>
        <w:rPr>
          <w:rFonts w:ascii="Times New Roman" w:hAnsi="Times New Roman" w:cs="Times New Roman"/>
          <w:sz w:val="24"/>
          <w:szCs w:val="24"/>
        </w:rPr>
      </w:pPr>
    </w:p>
    <w:p w:rsidR="0010350D" w:rsidRDefault="0010350D" w:rsidP="004138AE">
      <w:pPr>
        <w:pStyle w:val="NoSpacing"/>
        <w:jc w:val="both"/>
        <w:rPr>
          <w:rFonts w:ascii="Times New Roman" w:hAnsi="Times New Roman" w:cs="Times New Roman"/>
          <w:b/>
          <w:sz w:val="24"/>
          <w:szCs w:val="24"/>
        </w:rPr>
      </w:pPr>
    </w:p>
    <w:p w:rsidR="00C80865" w:rsidRDefault="00C80865" w:rsidP="004138AE">
      <w:pPr>
        <w:pStyle w:val="NoSpacing"/>
        <w:jc w:val="both"/>
        <w:rPr>
          <w:rFonts w:ascii="Times New Roman" w:hAnsi="Times New Roman" w:cs="Times New Roman"/>
          <w:b/>
          <w:sz w:val="24"/>
          <w:szCs w:val="24"/>
        </w:rPr>
      </w:pPr>
    </w:p>
    <w:p w:rsidR="00C80865" w:rsidRDefault="00C80865" w:rsidP="004138AE">
      <w:pPr>
        <w:pStyle w:val="NoSpacing"/>
        <w:jc w:val="both"/>
        <w:rPr>
          <w:rFonts w:ascii="Times New Roman" w:hAnsi="Times New Roman" w:cs="Times New Roman"/>
          <w:b/>
          <w:sz w:val="24"/>
          <w:szCs w:val="24"/>
        </w:rPr>
      </w:pPr>
    </w:p>
    <w:p w:rsidR="00C80865" w:rsidRDefault="00C80865" w:rsidP="004138AE">
      <w:pPr>
        <w:pStyle w:val="NoSpacing"/>
        <w:jc w:val="both"/>
        <w:rPr>
          <w:rFonts w:ascii="Times New Roman" w:hAnsi="Times New Roman" w:cs="Times New Roman"/>
          <w:b/>
          <w:sz w:val="24"/>
          <w:szCs w:val="24"/>
        </w:rPr>
      </w:pPr>
    </w:p>
    <w:p w:rsidR="00C80865" w:rsidRDefault="00C80865" w:rsidP="004138AE">
      <w:pPr>
        <w:pStyle w:val="NoSpacing"/>
        <w:jc w:val="both"/>
        <w:rPr>
          <w:rFonts w:ascii="Times New Roman" w:hAnsi="Times New Roman" w:cs="Times New Roman"/>
          <w:b/>
          <w:sz w:val="24"/>
          <w:szCs w:val="24"/>
        </w:rPr>
      </w:pPr>
    </w:p>
    <w:p w:rsidR="00C80865" w:rsidRDefault="00C80865" w:rsidP="004138AE">
      <w:pPr>
        <w:pStyle w:val="NoSpacing"/>
        <w:jc w:val="both"/>
        <w:rPr>
          <w:rFonts w:ascii="Times New Roman" w:hAnsi="Times New Roman" w:cs="Times New Roman"/>
          <w:b/>
          <w:sz w:val="24"/>
          <w:szCs w:val="24"/>
        </w:rPr>
      </w:pPr>
    </w:p>
    <w:p w:rsidR="00CD193E" w:rsidRDefault="00CD193E" w:rsidP="004138AE">
      <w:pPr>
        <w:pStyle w:val="NoSpacing"/>
        <w:jc w:val="both"/>
        <w:rPr>
          <w:rFonts w:ascii="Times New Roman" w:hAnsi="Times New Roman" w:cs="Times New Roman"/>
          <w:b/>
          <w:sz w:val="24"/>
          <w:szCs w:val="24"/>
        </w:rPr>
      </w:pPr>
    </w:p>
    <w:p w:rsidR="00CD193E" w:rsidRDefault="00CD193E" w:rsidP="004138AE">
      <w:pPr>
        <w:pStyle w:val="NoSpacing"/>
        <w:jc w:val="both"/>
        <w:rPr>
          <w:rFonts w:ascii="Times New Roman" w:hAnsi="Times New Roman" w:cs="Times New Roman"/>
          <w:b/>
          <w:sz w:val="24"/>
          <w:szCs w:val="24"/>
        </w:rPr>
      </w:pPr>
    </w:p>
    <w:p w:rsidR="00CD193E" w:rsidRDefault="00CD193E" w:rsidP="004138AE">
      <w:pPr>
        <w:pStyle w:val="NoSpacing"/>
        <w:jc w:val="both"/>
        <w:rPr>
          <w:rFonts w:ascii="Times New Roman" w:hAnsi="Times New Roman" w:cs="Times New Roman"/>
          <w:b/>
          <w:sz w:val="24"/>
          <w:szCs w:val="24"/>
        </w:rPr>
      </w:pPr>
    </w:p>
    <w:p w:rsidR="00CD193E" w:rsidRDefault="00CD193E" w:rsidP="004138AE">
      <w:pPr>
        <w:pStyle w:val="NoSpacing"/>
        <w:jc w:val="both"/>
        <w:rPr>
          <w:rFonts w:ascii="Times New Roman" w:hAnsi="Times New Roman" w:cs="Times New Roman"/>
          <w:b/>
          <w:sz w:val="24"/>
          <w:szCs w:val="24"/>
        </w:rPr>
      </w:pPr>
    </w:p>
    <w:p w:rsidR="008408A2" w:rsidRDefault="008408A2" w:rsidP="004138AE">
      <w:pPr>
        <w:pStyle w:val="NoSpacing"/>
        <w:jc w:val="both"/>
        <w:rPr>
          <w:rFonts w:ascii="Times New Roman" w:hAnsi="Times New Roman" w:cs="Times New Roman"/>
          <w:b/>
          <w:sz w:val="24"/>
          <w:szCs w:val="24"/>
        </w:rPr>
      </w:pPr>
    </w:p>
    <w:p w:rsidR="00CD193E" w:rsidRDefault="00CD193E" w:rsidP="004138AE">
      <w:pPr>
        <w:pStyle w:val="NoSpacing"/>
        <w:jc w:val="both"/>
        <w:rPr>
          <w:rFonts w:ascii="Times New Roman" w:hAnsi="Times New Roman" w:cs="Times New Roman"/>
          <w:b/>
          <w:sz w:val="24"/>
          <w:szCs w:val="24"/>
        </w:rPr>
      </w:pPr>
    </w:p>
    <w:p w:rsidR="00E11A85" w:rsidRPr="00E11A85" w:rsidRDefault="00E11A85" w:rsidP="004138AE">
      <w:pPr>
        <w:pStyle w:val="NoSpacing"/>
        <w:jc w:val="both"/>
        <w:rPr>
          <w:rFonts w:ascii="Times New Roman" w:hAnsi="Times New Roman" w:cs="Times New Roman"/>
          <w:b/>
          <w:sz w:val="24"/>
          <w:szCs w:val="24"/>
        </w:rPr>
      </w:pPr>
      <w:r w:rsidRPr="00E11A85">
        <w:rPr>
          <w:rFonts w:ascii="Times New Roman" w:hAnsi="Times New Roman" w:cs="Times New Roman"/>
          <w:b/>
          <w:sz w:val="24"/>
          <w:szCs w:val="24"/>
        </w:rPr>
        <w:t>Table 4 – Debt to Capital Ratio 2012 -2016</w:t>
      </w:r>
    </w:p>
    <w:tbl>
      <w:tblPr>
        <w:tblW w:w="8805" w:type="dxa"/>
        <w:tblInd w:w="92" w:type="dxa"/>
        <w:tblLook w:val="04A0"/>
      </w:tblPr>
      <w:tblGrid>
        <w:gridCol w:w="960"/>
        <w:gridCol w:w="960"/>
        <w:gridCol w:w="1200"/>
        <w:gridCol w:w="1140"/>
        <w:gridCol w:w="1280"/>
        <w:gridCol w:w="1147"/>
        <w:gridCol w:w="700"/>
        <w:gridCol w:w="1418"/>
      </w:tblGrid>
      <w:tr w:rsidR="00084760" w:rsidRPr="00084760" w:rsidTr="00084760">
        <w:trPr>
          <w:trHeight w:val="300"/>
        </w:trPr>
        <w:tc>
          <w:tcPr>
            <w:tcW w:w="960" w:type="dxa"/>
            <w:tcBorders>
              <w:top w:val="nil"/>
              <w:left w:val="nil"/>
              <w:bottom w:val="nil"/>
              <w:right w:val="nil"/>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p>
        </w:tc>
        <w:tc>
          <w:tcPr>
            <w:tcW w:w="2118" w:type="dxa"/>
            <w:gridSpan w:val="2"/>
            <w:tcBorders>
              <w:top w:val="nil"/>
              <w:left w:val="nil"/>
              <w:bottom w:val="nil"/>
              <w:right w:val="nil"/>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p>
        </w:tc>
      </w:tr>
      <w:tr w:rsidR="00084760" w:rsidRPr="00084760" w:rsidTr="0008476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6885" w:type="dxa"/>
            <w:gridSpan w:val="6"/>
            <w:tcBorders>
              <w:top w:val="single" w:sz="4" w:space="0" w:color="auto"/>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b/>
                <w:bCs/>
                <w:color w:val="000000"/>
              </w:rPr>
            </w:pPr>
            <w:r w:rsidRPr="00084760">
              <w:rPr>
                <w:rFonts w:ascii="Calibri" w:eastAsia="Times New Roman" w:hAnsi="Calibri" w:cs="Times New Roman"/>
                <w:b/>
                <w:bCs/>
                <w:color w:val="000000"/>
              </w:rPr>
              <w:t>Debt Capital Ratio</w:t>
            </w:r>
            <w:r w:rsidR="006009DC">
              <w:rPr>
                <w:rFonts w:ascii="Calibri" w:eastAsia="Times New Roman" w:hAnsi="Calibri" w:cs="Times New Roman"/>
                <w:b/>
                <w:bCs/>
                <w:color w:val="000000"/>
              </w:rPr>
              <w:t xml:space="preserve"> - %</w:t>
            </w:r>
          </w:p>
        </w:tc>
      </w:tr>
      <w:tr w:rsidR="00084760" w:rsidRPr="00084760" w:rsidTr="00084760">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b/>
                <w:bCs/>
                <w:color w:val="000000"/>
              </w:rPr>
            </w:pPr>
            <w:r w:rsidRPr="00084760">
              <w:rPr>
                <w:rFonts w:ascii="Calibri" w:eastAsia="Times New Roman" w:hAnsi="Calibri" w:cs="Times New Roman"/>
                <w:b/>
                <w:bCs/>
                <w:color w:val="000000"/>
              </w:rPr>
              <w:t>Years</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b/>
                <w:bCs/>
                <w:color w:val="000000"/>
              </w:rPr>
            </w:pPr>
            <w:r w:rsidRPr="00084760">
              <w:rPr>
                <w:rFonts w:ascii="Calibri" w:eastAsia="Times New Roman" w:hAnsi="Calibri" w:cs="Times New Roman"/>
                <w:b/>
                <w:bCs/>
                <w:color w:val="000000"/>
              </w:rPr>
              <w:t>DOMLEC</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b/>
                <w:bCs/>
                <w:color w:val="000000"/>
              </w:rPr>
            </w:pPr>
            <w:r w:rsidRPr="00084760">
              <w:rPr>
                <w:rFonts w:ascii="Calibri" w:eastAsia="Times New Roman" w:hAnsi="Calibri" w:cs="Times New Roman"/>
                <w:b/>
                <w:bCs/>
                <w:color w:val="000000"/>
              </w:rPr>
              <w:t>LUCELEC</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b/>
                <w:bCs/>
                <w:color w:val="000000"/>
              </w:rPr>
            </w:pPr>
            <w:r w:rsidRPr="00084760">
              <w:rPr>
                <w:rFonts w:ascii="Calibri" w:eastAsia="Times New Roman" w:hAnsi="Calibri" w:cs="Times New Roman"/>
                <w:b/>
                <w:bCs/>
                <w:color w:val="000000"/>
              </w:rPr>
              <w:t xml:space="preserve"> GRENLEC</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Default="00084760" w:rsidP="004138AE">
            <w:pPr>
              <w:rPr>
                <w:rFonts w:ascii="Calibri" w:eastAsia="Times New Roman" w:hAnsi="Calibri" w:cs="Times New Roman"/>
                <w:b/>
                <w:bCs/>
                <w:color w:val="000000"/>
              </w:rPr>
            </w:pPr>
            <w:r>
              <w:rPr>
                <w:rFonts w:ascii="Calibri" w:eastAsia="Times New Roman" w:hAnsi="Calibri" w:cs="Times New Roman"/>
                <w:b/>
                <w:bCs/>
                <w:color w:val="000000"/>
              </w:rPr>
              <w:t>Caribbean Electricity Utilities Regional  Average -CARILEC</w:t>
            </w:r>
          </w:p>
          <w:p w:rsidR="00084760" w:rsidRPr="00084760" w:rsidRDefault="00084760" w:rsidP="004138AE">
            <w:pPr>
              <w:rPr>
                <w:rFonts w:ascii="Calibri" w:eastAsia="Times New Roman" w:hAnsi="Calibri" w:cs="Times New Roman"/>
                <w:b/>
                <w:bCs/>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084760" w:rsidRPr="00084760" w:rsidRDefault="00084760" w:rsidP="004138AE">
            <w:pPr>
              <w:rPr>
                <w:rFonts w:ascii="Calibri" w:eastAsia="Times New Roman" w:hAnsi="Calibri" w:cs="Times New Roman"/>
                <w:b/>
                <w:bCs/>
                <w:color w:val="000000"/>
              </w:rPr>
            </w:pPr>
            <w:r w:rsidRPr="00084760">
              <w:rPr>
                <w:rFonts w:ascii="Calibri" w:eastAsia="Times New Roman" w:hAnsi="Calibri" w:cs="Times New Roman"/>
                <w:b/>
                <w:bCs/>
                <w:color w:val="000000"/>
              </w:rPr>
              <w:t>US investors Owned Electric Utility Industry</w:t>
            </w:r>
          </w:p>
        </w:tc>
      </w:tr>
      <w:tr w:rsidR="00084760" w:rsidRPr="00084760" w:rsidTr="00084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p>
        </w:tc>
      </w:tr>
      <w:tr w:rsidR="00084760" w:rsidRPr="00084760" w:rsidTr="00084760">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Debt</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40</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47</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38</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r>
      <w:tr w:rsidR="00084760" w:rsidRPr="00084760" w:rsidTr="000847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084760" w:rsidRPr="00084760" w:rsidRDefault="00084760" w:rsidP="004138AE">
            <w:pP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Equity</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60</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53</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62</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r w:rsidR="000441EB">
              <w:rPr>
                <w:rFonts w:ascii="Calibri" w:eastAsia="Times New Roman" w:hAnsi="Calibri" w:cs="Times New Roman"/>
                <w:color w:val="000000"/>
              </w:rPr>
              <w:t>NA</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r>
      <w:tr w:rsidR="00084760" w:rsidRPr="00084760" w:rsidTr="00084760">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Debt</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35</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43</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706B68" w:rsidP="006009DC">
            <w:pPr>
              <w:rPr>
                <w:rFonts w:ascii="Calibri" w:eastAsia="Times New Roman" w:hAnsi="Calibri" w:cs="Times New Roman"/>
                <w:color w:val="000000"/>
              </w:rPr>
            </w:pPr>
            <w:r>
              <w:rPr>
                <w:rFonts w:ascii="Calibri" w:eastAsia="Times New Roman" w:hAnsi="Calibri" w:cs="Times New Roman"/>
                <w:color w:val="000000"/>
              </w:rPr>
              <w:t>30</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49.9</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r w:rsidR="000441EB">
              <w:rPr>
                <w:rFonts w:ascii="Calibri" w:eastAsia="Times New Roman" w:hAnsi="Calibri" w:cs="Times New Roman"/>
                <w:color w:val="000000"/>
              </w:rPr>
              <w:t>NA</w:t>
            </w:r>
          </w:p>
        </w:tc>
      </w:tr>
      <w:tr w:rsidR="00084760" w:rsidRPr="00084760" w:rsidTr="000847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084760" w:rsidRPr="00084760" w:rsidRDefault="00084760" w:rsidP="004138AE">
            <w:pP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Equity</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65</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57</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706B68" w:rsidP="006009DC">
            <w:pPr>
              <w:rPr>
                <w:rFonts w:ascii="Calibri" w:eastAsia="Times New Roman" w:hAnsi="Calibri" w:cs="Times New Roman"/>
                <w:color w:val="000000"/>
              </w:rPr>
            </w:pPr>
            <w:r>
              <w:rPr>
                <w:rFonts w:ascii="Calibri" w:eastAsia="Times New Roman" w:hAnsi="Calibri" w:cs="Times New Roman"/>
                <w:color w:val="000000"/>
              </w:rPr>
              <w:t>70</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50.1</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r>
      <w:tr w:rsidR="00084760" w:rsidRPr="00084760" w:rsidTr="00084760">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Debt</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30</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39</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20</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42</w:t>
            </w:r>
          </w:p>
        </w:tc>
      </w:tr>
      <w:tr w:rsidR="00084760" w:rsidRPr="00084760" w:rsidTr="000847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084760" w:rsidRPr="00084760" w:rsidRDefault="00084760" w:rsidP="004138AE">
            <w:pP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Equity</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70</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61</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706B68" w:rsidP="006009DC">
            <w:pPr>
              <w:rPr>
                <w:rFonts w:ascii="Calibri" w:eastAsia="Times New Roman" w:hAnsi="Calibri" w:cs="Times New Roman"/>
                <w:color w:val="000000"/>
              </w:rPr>
            </w:pPr>
            <w:r>
              <w:rPr>
                <w:rFonts w:ascii="Calibri" w:eastAsia="Times New Roman" w:hAnsi="Calibri" w:cs="Times New Roman"/>
                <w:color w:val="000000"/>
              </w:rPr>
              <w:t>80</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58</w:t>
            </w:r>
          </w:p>
        </w:tc>
      </w:tr>
      <w:tr w:rsidR="00084760" w:rsidRPr="00084760" w:rsidTr="00084760">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Debt</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25</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35</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706B68" w:rsidP="006009DC">
            <w:pPr>
              <w:rPr>
                <w:rFonts w:ascii="Calibri" w:eastAsia="Times New Roman" w:hAnsi="Calibri" w:cs="Times New Roman"/>
                <w:color w:val="000000"/>
              </w:rPr>
            </w:pPr>
            <w:r>
              <w:rPr>
                <w:rFonts w:ascii="Calibri" w:eastAsia="Times New Roman" w:hAnsi="Calibri" w:cs="Times New Roman"/>
                <w:color w:val="000000"/>
              </w:rPr>
              <w:t>13</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r w:rsidR="000441EB">
              <w:rPr>
                <w:rFonts w:ascii="Calibri" w:eastAsia="Times New Roman" w:hAnsi="Calibri" w:cs="Times New Roman"/>
                <w:color w:val="000000"/>
              </w:rPr>
              <w:t>NA</w:t>
            </w:r>
          </w:p>
        </w:tc>
      </w:tr>
      <w:tr w:rsidR="00084760" w:rsidRPr="00084760" w:rsidTr="000847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084760" w:rsidRPr="00084760" w:rsidRDefault="00084760" w:rsidP="004138AE">
            <w:pP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Equity</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75</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65</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706B68" w:rsidP="006009DC">
            <w:pPr>
              <w:rPr>
                <w:rFonts w:ascii="Calibri" w:eastAsia="Times New Roman" w:hAnsi="Calibri" w:cs="Times New Roman"/>
                <w:color w:val="000000"/>
              </w:rPr>
            </w:pPr>
            <w:r>
              <w:rPr>
                <w:rFonts w:ascii="Calibri" w:eastAsia="Times New Roman" w:hAnsi="Calibri" w:cs="Times New Roman"/>
                <w:color w:val="000000"/>
              </w:rPr>
              <w:t>87</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r w:rsidR="000441EB">
              <w:rPr>
                <w:rFonts w:ascii="Calibri" w:eastAsia="Times New Roman" w:hAnsi="Calibri" w:cs="Times New Roman"/>
                <w:color w:val="000000"/>
              </w:rPr>
              <w:t>NA</w:t>
            </w:r>
          </w:p>
        </w:tc>
      </w:tr>
      <w:tr w:rsidR="00084760" w:rsidRPr="00084760" w:rsidTr="00084760">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084760" w:rsidRPr="00084760" w:rsidRDefault="00C47160" w:rsidP="004138AE">
            <w:pPr>
              <w:rPr>
                <w:rFonts w:ascii="Calibri" w:eastAsia="Times New Roman" w:hAnsi="Calibri" w:cs="Times New Roman"/>
                <w:color w:val="000000"/>
              </w:rPr>
            </w:pPr>
            <w:r>
              <w:rPr>
                <w:rFonts w:ascii="Calibri" w:eastAsia="Times New Roman" w:hAnsi="Calibri" w:cs="Times New Roman"/>
                <w:color w:val="000000"/>
              </w:rPr>
              <w:t xml:space="preserve"> </w:t>
            </w:r>
            <w:r w:rsidR="00084760" w:rsidRPr="00084760">
              <w:rPr>
                <w:rFonts w:ascii="Calibri" w:eastAsia="Times New Roman" w:hAnsi="Calibri" w:cs="Times New Roman"/>
                <w:color w:val="00000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Debt</w:t>
            </w:r>
          </w:p>
        </w:tc>
        <w:tc>
          <w:tcPr>
            <w:tcW w:w="1200"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20</w:t>
            </w:r>
          </w:p>
        </w:tc>
        <w:tc>
          <w:tcPr>
            <w:tcW w:w="1140" w:type="dxa"/>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280" w:type="dxa"/>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418" w:type="dxa"/>
            <w:tcBorders>
              <w:top w:val="nil"/>
              <w:left w:val="nil"/>
              <w:bottom w:val="single" w:sz="4" w:space="0" w:color="auto"/>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r w:rsidR="000441EB">
              <w:rPr>
                <w:rFonts w:ascii="Calibri" w:eastAsia="Times New Roman" w:hAnsi="Calibri" w:cs="Times New Roman"/>
                <w:color w:val="000000"/>
              </w:rPr>
              <w:t>NA</w:t>
            </w:r>
          </w:p>
        </w:tc>
      </w:tr>
      <w:tr w:rsidR="00084760" w:rsidRPr="00084760" w:rsidTr="00C47160">
        <w:trPr>
          <w:trHeight w:val="300"/>
        </w:trPr>
        <w:tc>
          <w:tcPr>
            <w:tcW w:w="960" w:type="dxa"/>
            <w:vMerge/>
            <w:tcBorders>
              <w:top w:val="nil"/>
              <w:left w:val="single" w:sz="4" w:space="0" w:color="auto"/>
              <w:bottom w:val="nil"/>
              <w:right w:val="single" w:sz="4" w:space="0" w:color="auto"/>
            </w:tcBorders>
            <w:vAlign w:val="center"/>
            <w:hideMark/>
          </w:tcPr>
          <w:p w:rsidR="00084760" w:rsidRPr="00084760" w:rsidRDefault="00084760" w:rsidP="004138AE">
            <w:pPr>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Equity</w:t>
            </w:r>
          </w:p>
        </w:tc>
        <w:tc>
          <w:tcPr>
            <w:tcW w:w="1200" w:type="dxa"/>
            <w:tcBorders>
              <w:top w:val="nil"/>
              <w:left w:val="nil"/>
              <w:bottom w:val="nil"/>
              <w:right w:val="single" w:sz="4" w:space="0" w:color="auto"/>
            </w:tcBorders>
            <w:shd w:val="clear" w:color="auto" w:fill="auto"/>
            <w:noWrap/>
            <w:vAlign w:val="bottom"/>
            <w:hideMark/>
          </w:tcPr>
          <w:p w:rsidR="00084760" w:rsidRPr="00084760" w:rsidRDefault="00084760" w:rsidP="006009DC">
            <w:pPr>
              <w:rPr>
                <w:rFonts w:ascii="Calibri" w:eastAsia="Times New Roman" w:hAnsi="Calibri" w:cs="Times New Roman"/>
                <w:color w:val="000000"/>
              </w:rPr>
            </w:pPr>
            <w:r w:rsidRPr="00084760">
              <w:rPr>
                <w:rFonts w:ascii="Calibri" w:eastAsia="Times New Roman" w:hAnsi="Calibri" w:cs="Times New Roman"/>
                <w:color w:val="000000"/>
              </w:rPr>
              <w:t>80</w:t>
            </w:r>
          </w:p>
        </w:tc>
        <w:tc>
          <w:tcPr>
            <w:tcW w:w="1140" w:type="dxa"/>
            <w:tcBorders>
              <w:top w:val="nil"/>
              <w:left w:val="nil"/>
              <w:bottom w:val="nil"/>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280" w:type="dxa"/>
            <w:tcBorders>
              <w:top w:val="nil"/>
              <w:left w:val="nil"/>
              <w:bottom w:val="nil"/>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847" w:type="dxa"/>
            <w:gridSpan w:val="2"/>
            <w:tcBorders>
              <w:top w:val="nil"/>
              <w:left w:val="nil"/>
              <w:bottom w:val="nil"/>
              <w:right w:val="single" w:sz="4" w:space="0" w:color="auto"/>
            </w:tcBorders>
            <w:shd w:val="clear" w:color="auto" w:fill="auto"/>
            <w:noWrap/>
            <w:vAlign w:val="bottom"/>
            <w:hideMark/>
          </w:tcPr>
          <w:p w:rsidR="00084760" w:rsidRPr="00084760" w:rsidRDefault="000441E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418" w:type="dxa"/>
            <w:tcBorders>
              <w:top w:val="nil"/>
              <w:left w:val="nil"/>
              <w:bottom w:val="nil"/>
              <w:right w:val="single" w:sz="4" w:space="0" w:color="auto"/>
            </w:tcBorders>
            <w:shd w:val="clear" w:color="auto" w:fill="auto"/>
            <w:noWrap/>
            <w:vAlign w:val="bottom"/>
            <w:hideMark/>
          </w:tcPr>
          <w:p w:rsidR="00084760" w:rsidRPr="00084760" w:rsidRDefault="00084760" w:rsidP="004138AE">
            <w:pPr>
              <w:rPr>
                <w:rFonts w:ascii="Calibri" w:eastAsia="Times New Roman" w:hAnsi="Calibri" w:cs="Times New Roman"/>
                <w:color w:val="000000"/>
              </w:rPr>
            </w:pPr>
            <w:r w:rsidRPr="00084760">
              <w:rPr>
                <w:rFonts w:ascii="Calibri" w:eastAsia="Times New Roman" w:hAnsi="Calibri" w:cs="Times New Roman"/>
                <w:color w:val="000000"/>
              </w:rPr>
              <w:t> </w:t>
            </w:r>
            <w:r w:rsidR="000441EB">
              <w:rPr>
                <w:rFonts w:ascii="Calibri" w:eastAsia="Times New Roman" w:hAnsi="Calibri" w:cs="Times New Roman"/>
                <w:color w:val="000000"/>
              </w:rPr>
              <w:t>NA</w:t>
            </w:r>
          </w:p>
        </w:tc>
      </w:tr>
      <w:tr w:rsidR="00C47160" w:rsidRPr="00084760" w:rsidTr="00084760">
        <w:trPr>
          <w:trHeight w:val="300"/>
        </w:trPr>
        <w:tc>
          <w:tcPr>
            <w:tcW w:w="960" w:type="dxa"/>
            <w:tcBorders>
              <w:top w:val="nil"/>
              <w:left w:val="single" w:sz="4" w:space="0" w:color="auto"/>
              <w:bottom w:val="single" w:sz="4" w:space="0" w:color="000000"/>
              <w:right w:val="single" w:sz="4" w:space="0" w:color="auto"/>
            </w:tcBorders>
            <w:vAlign w:val="center"/>
            <w:hideMark/>
          </w:tcPr>
          <w:p w:rsidR="00C47160" w:rsidRPr="00084760" w:rsidRDefault="00C47160" w:rsidP="004138AE">
            <w:pP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C47160" w:rsidRPr="00084760" w:rsidRDefault="00C47160" w:rsidP="004138AE">
            <w:pPr>
              <w:rPr>
                <w:rFonts w:ascii="Calibri" w:eastAsia="Times New Roman" w:hAnsi="Calibri"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rsidR="00C47160" w:rsidRPr="00084760" w:rsidRDefault="00C47160" w:rsidP="004138AE">
            <w:pPr>
              <w:rPr>
                <w:rFonts w:ascii="Calibri" w:eastAsia="Times New Roman" w:hAnsi="Calibri" w:cs="Times New Roman"/>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rsidR="00C47160" w:rsidRPr="00084760" w:rsidRDefault="00C47160" w:rsidP="004138AE">
            <w:pPr>
              <w:rPr>
                <w:rFonts w:ascii="Calibri" w:eastAsia="Times New Roman" w:hAnsi="Calibri" w:cs="Times New Roman"/>
                <w:color w:val="000000"/>
              </w:rPr>
            </w:pPr>
          </w:p>
        </w:tc>
        <w:tc>
          <w:tcPr>
            <w:tcW w:w="1280" w:type="dxa"/>
            <w:tcBorders>
              <w:top w:val="nil"/>
              <w:left w:val="nil"/>
              <w:bottom w:val="single" w:sz="4" w:space="0" w:color="auto"/>
              <w:right w:val="single" w:sz="4" w:space="0" w:color="auto"/>
            </w:tcBorders>
            <w:shd w:val="clear" w:color="auto" w:fill="auto"/>
            <w:noWrap/>
            <w:vAlign w:val="bottom"/>
            <w:hideMark/>
          </w:tcPr>
          <w:p w:rsidR="00C47160" w:rsidRPr="00084760" w:rsidRDefault="00C47160" w:rsidP="004138AE">
            <w:pPr>
              <w:rPr>
                <w:rFonts w:ascii="Calibri" w:eastAsia="Times New Roman" w:hAnsi="Calibri" w:cs="Times New Roman"/>
                <w:color w:val="000000"/>
              </w:rPr>
            </w:pP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47160" w:rsidRDefault="00C47160" w:rsidP="004138AE">
            <w:pPr>
              <w:rPr>
                <w:rFonts w:ascii="Calibri" w:eastAsia="Times New Roman" w:hAnsi="Calibri"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C47160" w:rsidRPr="00084760" w:rsidRDefault="00C47160" w:rsidP="004138AE">
            <w:pPr>
              <w:rPr>
                <w:rFonts w:ascii="Calibri" w:eastAsia="Times New Roman" w:hAnsi="Calibri" w:cs="Times New Roman"/>
                <w:color w:val="000000"/>
              </w:rPr>
            </w:pPr>
          </w:p>
        </w:tc>
      </w:tr>
    </w:tbl>
    <w:p w:rsidR="00084760" w:rsidRPr="00D74602" w:rsidRDefault="00084760" w:rsidP="004138AE">
      <w:pPr>
        <w:pStyle w:val="NoSpacing"/>
        <w:jc w:val="both"/>
        <w:rPr>
          <w:rFonts w:ascii="Times New Roman" w:hAnsi="Times New Roman" w:cs="Times New Roman"/>
          <w:sz w:val="24"/>
          <w:szCs w:val="24"/>
        </w:rPr>
      </w:pPr>
    </w:p>
    <w:p w:rsidR="00AA2439" w:rsidRDefault="0081178E" w:rsidP="00CD193E">
      <w:pPr>
        <w:pStyle w:val="NoSpacing"/>
        <w:jc w:val="both"/>
        <w:rPr>
          <w:rFonts w:ascii="Times New Roman" w:hAnsi="Times New Roman" w:cs="Times New Roman"/>
          <w:sz w:val="24"/>
          <w:szCs w:val="24"/>
        </w:rPr>
      </w:pPr>
      <w:r>
        <w:rPr>
          <w:rFonts w:ascii="Times New Roman" w:hAnsi="Times New Roman" w:cs="Times New Roman"/>
          <w:sz w:val="24"/>
          <w:szCs w:val="24"/>
        </w:rPr>
        <w:t>As can be seen from table 4 DOMLEC’s</w:t>
      </w:r>
      <w:r w:rsidR="00F26FED">
        <w:rPr>
          <w:rFonts w:ascii="Times New Roman" w:hAnsi="Times New Roman" w:cs="Times New Roman"/>
          <w:sz w:val="24"/>
          <w:szCs w:val="24"/>
        </w:rPr>
        <w:t xml:space="preserve"> debt </w:t>
      </w:r>
      <w:r w:rsidR="003351C4">
        <w:rPr>
          <w:rFonts w:ascii="Times New Roman" w:hAnsi="Times New Roman" w:cs="Times New Roman"/>
          <w:sz w:val="24"/>
          <w:szCs w:val="24"/>
        </w:rPr>
        <w:t>to capital ratio</w:t>
      </w:r>
      <w:r w:rsidR="00F26FED">
        <w:rPr>
          <w:rFonts w:ascii="Times New Roman" w:hAnsi="Times New Roman" w:cs="Times New Roman"/>
          <w:sz w:val="24"/>
          <w:szCs w:val="24"/>
        </w:rPr>
        <w:t xml:space="preserve"> declined at a steady rate, </w:t>
      </w:r>
      <w:r w:rsidR="00FE3A36">
        <w:rPr>
          <w:rFonts w:ascii="Times New Roman" w:hAnsi="Times New Roman" w:cs="Times New Roman"/>
          <w:sz w:val="24"/>
          <w:szCs w:val="24"/>
        </w:rPr>
        <w:t xml:space="preserve">primarily </w:t>
      </w:r>
      <w:r w:rsidR="0049426C">
        <w:rPr>
          <w:rFonts w:ascii="Times New Roman" w:hAnsi="Times New Roman" w:cs="Times New Roman"/>
          <w:sz w:val="24"/>
          <w:szCs w:val="24"/>
        </w:rPr>
        <w:t xml:space="preserve">because </w:t>
      </w:r>
      <w:r w:rsidR="00FE3A36" w:rsidRPr="00FE3A36">
        <w:rPr>
          <w:rFonts w:ascii="Times New Roman" w:hAnsi="Times New Roman" w:cs="Times New Roman"/>
          <w:sz w:val="24"/>
          <w:szCs w:val="24"/>
        </w:rPr>
        <w:t>equity</w:t>
      </w:r>
      <w:r w:rsidR="00F26FED" w:rsidRPr="00FE3A36">
        <w:rPr>
          <w:rFonts w:ascii="Times New Roman" w:hAnsi="Times New Roman" w:cs="Times New Roman"/>
          <w:sz w:val="24"/>
          <w:szCs w:val="24"/>
        </w:rPr>
        <w:t xml:space="preserve"> grew at a satisfactorily rate from 2012 to 2016</w:t>
      </w:r>
      <w:r w:rsidR="00F26FED">
        <w:rPr>
          <w:rFonts w:ascii="Times New Roman" w:hAnsi="Times New Roman" w:cs="Times New Roman"/>
          <w:sz w:val="24"/>
          <w:szCs w:val="24"/>
        </w:rPr>
        <w:t>. The company experienced its lowest debt</w:t>
      </w:r>
      <w:r w:rsidR="0003645E">
        <w:rPr>
          <w:rFonts w:ascii="Times New Roman" w:hAnsi="Times New Roman" w:cs="Times New Roman"/>
          <w:sz w:val="24"/>
          <w:szCs w:val="24"/>
        </w:rPr>
        <w:t xml:space="preserve"> to capital ratio</w:t>
      </w:r>
      <w:r w:rsidR="005D4CF4">
        <w:rPr>
          <w:rFonts w:ascii="Times New Roman" w:hAnsi="Times New Roman" w:cs="Times New Roman"/>
          <w:sz w:val="24"/>
          <w:szCs w:val="24"/>
        </w:rPr>
        <w:t xml:space="preserve"> </w:t>
      </w:r>
      <w:r w:rsidR="00F26FED">
        <w:rPr>
          <w:rFonts w:ascii="Times New Roman" w:hAnsi="Times New Roman" w:cs="Times New Roman"/>
          <w:sz w:val="24"/>
          <w:szCs w:val="24"/>
        </w:rPr>
        <w:t xml:space="preserve">of 20% in 2016.  </w:t>
      </w:r>
      <w:r w:rsidR="008B2C9F">
        <w:rPr>
          <w:rFonts w:ascii="Times New Roman" w:hAnsi="Times New Roman" w:cs="Times New Roman"/>
          <w:sz w:val="24"/>
          <w:szCs w:val="24"/>
        </w:rPr>
        <w:t>In fact, all three OECS utilities evidenced a similar pattern of declining debt to capital ratios. I</w:t>
      </w:r>
      <w:r w:rsidR="00E042D1">
        <w:rPr>
          <w:rFonts w:ascii="Times New Roman" w:hAnsi="Times New Roman" w:cs="Times New Roman"/>
          <w:sz w:val="24"/>
          <w:szCs w:val="24"/>
        </w:rPr>
        <w:t>n fact</w:t>
      </w:r>
      <w:r w:rsidR="006009DC">
        <w:rPr>
          <w:rFonts w:ascii="Times New Roman" w:hAnsi="Times New Roman" w:cs="Times New Roman"/>
          <w:sz w:val="24"/>
          <w:szCs w:val="24"/>
        </w:rPr>
        <w:t>,</w:t>
      </w:r>
      <w:r w:rsidR="00E042D1">
        <w:rPr>
          <w:rFonts w:ascii="Times New Roman" w:hAnsi="Times New Roman" w:cs="Times New Roman"/>
          <w:sz w:val="24"/>
          <w:szCs w:val="24"/>
        </w:rPr>
        <w:t xml:space="preserve"> DOMLEC’s debt </w:t>
      </w:r>
      <w:r w:rsidR="005D4CF4">
        <w:rPr>
          <w:rFonts w:ascii="Times New Roman" w:hAnsi="Times New Roman" w:cs="Times New Roman"/>
          <w:sz w:val="24"/>
          <w:szCs w:val="24"/>
        </w:rPr>
        <w:t>to capital ratio</w:t>
      </w:r>
      <w:r w:rsidR="00E042D1">
        <w:rPr>
          <w:rFonts w:ascii="Times New Roman" w:hAnsi="Times New Roman" w:cs="Times New Roman"/>
          <w:sz w:val="24"/>
          <w:szCs w:val="24"/>
        </w:rPr>
        <w:t xml:space="preserve"> fell below the acceptable limit between</w:t>
      </w:r>
      <w:r w:rsidR="00706B68">
        <w:rPr>
          <w:rFonts w:ascii="Times New Roman" w:hAnsi="Times New Roman" w:cs="Times New Roman"/>
          <w:sz w:val="24"/>
          <w:szCs w:val="24"/>
        </w:rPr>
        <w:t xml:space="preserve"> 35% and 65% for the industry</w:t>
      </w:r>
      <w:r w:rsidR="00E26622">
        <w:rPr>
          <w:rStyle w:val="FootnoteReference"/>
          <w:rFonts w:ascii="Times New Roman" w:hAnsi="Times New Roman" w:cs="Times New Roman"/>
          <w:sz w:val="24"/>
          <w:szCs w:val="24"/>
        </w:rPr>
        <w:footnoteReference w:id="6"/>
      </w:r>
      <w:r w:rsidR="00640B20">
        <w:rPr>
          <w:rFonts w:ascii="Times New Roman" w:hAnsi="Times New Roman" w:cs="Times New Roman"/>
          <w:sz w:val="24"/>
          <w:szCs w:val="24"/>
        </w:rPr>
        <w:t xml:space="preserve">. </w:t>
      </w:r>
      <w:r w:rsidR="008B2C9F">
        <w:rPr>
          <w:rFonts w:ascii="Times New Roman" w:hAnsi="Times New Roman" w:cs="Times New Roman"/>
          <w:sz w:val="24"/>
          <w:szCs w:val="24"/>
        </w:rPr>
        <w:t xml:space="preserve">It would seem that the companies took decisions to move away from debt financing and to utilize retained earnings. </w:t>
      </w:r>
      <w:r w:rsidR="00640B20">
        <w:rPr>
          <w:rFonts w:ascii="Times New Roman" w:hAnsi="Times New Roman" w:cs="Times New Roman"/>
          <w:sz w:val="24"/>
          <w:szCs w:val="24"/>
        </w:rPr>
        <w:t xml:space="preserve"> </w:t>
      </w:r>
    </w:p>
    <w:p w:rsidR="00AA2439" w:rsidRDefault="00AA2439" w:rsidP="00CD193E">
      <w:pPr>
        <w:pStyle w:val="NoSpacing"/>
        <w:jc w:val="both"/>
        <w:rPr>
          <w:rFonts w:ascii="Times New Roman" w:hAnsi="Times New Roman" w:cs="Times New Roman"/>
          <w:sz w:val="24"/>
          <w:szCs w:val="24"/>
        </w:rPr>
      </w:pPr>
    </w:p>
    <w:p w:rsidR="0010350D" w:rsidRDefault="00640B20" w:rsidP="00CD193E">
      <w:pPr>
        <w:pStyle w:val="NoSpacing"/>
        <w:jc w:val="both"/>
        <w:rPr>
          <w:rFonts w:ascii="Times New Roman" w:hAnsi="Times New Roman" w:cs="Times New Roman"/>
          <w:sz w:val="24"/>
          <w:szCs w:val="24"/>
        </w:rPr>
      </w:pPr>
      <w:r w:rsidRPr="008752A1">
        <w:rPr>
          <w:rFonts w:ascii="Times New Roman" w:hAnsi="Times New Roman" w:cs="Times New Roman"/>
          <w:sz w:val="24"/>
          <w:szCs w:val="24"/>
        </w:rPr>
        <w:t>DOMLEC’s debt level was low</w:t>
      </w:r>
      <w:r w:rsidR="007F3322" w:rsidRPr="008752A1">
        <w:rPr>
          <w:rFonts w:ascii="Times New Roman" w:hAnsi="Times New Roman" w:cs="Times New Roman"/>
          <w:sz w:val="24"/>
          <w:szCs w:val="24"/>
        </w:rPr>
        <w:t>er</w:t>
      </w:r>
      <w:r w:rsidR="00AF2C13" w:rsidRPr="008752A1">
        <w:rPr>
          <w:rFonts w:ascii="Times New Roman" w:hAnsi="Times New Roman" w:cs="Times New Roman"/>
          <w:sz w:val="24"/>
          <w:szCs w:val="24"/>
        </w:rPr>
        <w:t xml:space="preserve"> </w:t>
      </w:r>
      <w:r w:rsidR="008B2C9F" w:rsidRPr="008752A1">
        <w:rPr>
          <w:rFonts w:ascii="Times New Roman" w:hAnsi="Times New Roman" w:cs="Times New Roman"/>
          <w:sz w:val="24"/>
          <w:szCs w:val="24"/>
        </w:rPr>
        <w:t xml:space="preserve">than </w:t>
      </w:r>
      <w:r w:rsidRPr="008752A1">
        <w:rPr>
          <w:rFonts w:ascii="Times New Roman" w:hAnsi="Times New Roman" w:cs="Times New Roman"/>
          <w:sz w:val="24"/>
          <w:szCs w:val="24"/>
        </w:rPr>
        <w:t>LUCELEC</w:t>
      </w:r>
      <w:r w:rsidR="00AF2C13" w:rsidRPr="008752A1">
        <w:rPr>
          <w:rFonts w:ascii="Times New Roman" w:hAnsi="Times New Roman" w:cs="Times New Roman"/>
          <w:sz w:val="24"/>
          <w:szCs w:val="24"/>
        </w:rPr>
        <w:t xml:space="preserve"> from 2012 to 2015</w:t>
      </w:r>
      <w:r w:rsidR="008B2C9F" w:rsidRPr="008752A1">
        <w:rPr>
          <w:rFonts w:ascii="Times New Roman" w:hAnsi="Times New Roman" w:cs="Times New Roman"/>
          <w:sz w:val="24"/>
          <w:szCs w:val="24"/>
        </w:rPr>
        <w:t>,</w:t>
      </w:r>
      <w:r w:rsidR="00AF2C13" w:rsidRPr="008752A1">
        <w:rPr>
          <w:rFonts w:ascii="Times New Roman" w:hAnsi="Times New Roman" w:cs="Times New Roman"/>
          <w:sz w:val="24"/>
          <w:szCs w:val="24"/>
        </w:rPr>
        <w:t xml:space="preserve"> and was also lower than that of the</w:t>
      </w:r>
      <w:r w:rsidRPr="008752A1">
        <w:rPr>
          <w:rFonts w:ascii="Times New Roman" w:hAnsi="Times New Roman" w:cs="Times New Roman"/>
          <w:sz w:val="24"/>
          <w:szCs w:val="24"/>
        </w:rPr>
        <w:t xml:space="preserve"> USI</w:t>
      </w:r>
      <w:r w:rsidR="00706B68" w:rsidRPr="008752A1">
        <w:rPr>
          <w:rFonts w:ascii="Times New Roman" w:hAnsi="Times New Roman" w:cs="Times New Roman"/>
          <w:sz w:val="24"/>
          <w:szCs w:val="24"/>
        </w:rPr>
        <w:t>EU</w:t>
      </w:r>
      <w:r w:rsidRPr="008752A1">
        <w:rPr>
          <w:rFonts w:ascii="Times New Roman" w:hAnsi="Times New Roman" w:cs="Times New Roman"/>
          <w:sz w:val="24"/>
          <w:szCs w:val="24"/>
        </w:rPr>
        <w:t>.</w:t>
      </w:r>
      <w:r w:rsidR="000A62E1" w:rsidRPr="008752A1">
        <w:rPr>
          <w:rFonts w:ascii="Times New Roman" w:hAnsi="Times New Roman" w:cs="Times New Roman"/>
          <w:sz w:val="24"/>
          <w:szCs w:val="24"/>
        </w:rPr>
        <w:t xml:space="preserve"> </w:t>
      </w:r>
      <w:r w:rsidR="008752A1" w:rsidRPr="008752A1">
        <w:rPr>
          <w:rFonts w:ascii="Times New Roman" w:hAnsi="Times New Roman" w:cs="Times New Roman"/>
          <w:sz w:val="24"/>
          <w:szCs w:val="24"/>
        </w:rPr>
        <w:t>Overall,</w:t>
      </w:r>
      <w:r w:rsidR="000A62E1" w:rsidRPr="008752A1">
        <w:rPr>
          <w:rFonts w:ascii="Times New Roman" w:hAnsi="Times New Roman" w:cs="Times New Roman"/>
          <w:sz w:val="24"/>
          <w:szCs w:val="24"/>
        </w:rPr>
        <w:t xml:space="preserve"> GRENLEC recorded the lowest debt</w:t>
      </w:r>
      <w:r w:rsidR="00AF2C13" w:rsidRPr="008752A1">
        <w:rPr>
          <w:rFonts w:ascii="Times New Roman" w:hAnsi="Times New Roman" w:cs="Times New Roman"/>
          <w:sz w:val="24"/>
          <w:szCs w:val="24"/>
        </w:rPr>
        <w:t xml:space="preserve"> </w:t>
      </w:r>
      <w:r w:rsidR="008752A1" w:rsidRPr="008752A1">
        <w:rPr>
          <w:rFonts w:ascii="Times New Roman" w:hAnsi="Times New Roman" w:cs="Times New Roman"/>
          <w:sz w:val="24"/>
          <w:szCs w:val="24"/>
        </w:rPr>
        <w:t xml:space="preserve">to capital </w:t>
      </w:r>
      <w:r w:rsidR="008752A1">
        <w:rPr>
          <w:rFonts w:ascii="Times New Roman" w:hAnsi="Times New Roman" w:cs="Times New Roman"/>
          <w:sz w:val="24"/>
          <w:szCs w:val="24"/>
        </w:rPr>
        <w:t xml:space="preserve">ratio </w:t>
      </w:r>
      <w:r w:rsidR="000A62E1" w:rsidRPr="008752A1">
        <w:rPr>
          <w:rFonts w:ascii="Times New Roman" w:hAnsi="Times New Roman" w:cs="Times New Roman"/>
          <w:sz w:val="24"/>
          <w:szCs w:val="24"/>
        </w:rPr>
        <w:t>from 2012 to 2015</w:t>
      </w:r>
      <w:bookmarkStart w:id="13" w:name="_Toc485128742"/>
      <w:r w:rsidR="00AF2C13" w:rsidRPr="008752A1">
        <w:rPr>
          <w:rFonts w:ascii="Times New Roman" w:hAnsi="Times New Roman" w:cs="Times New Roman"/>
          <w:sz w:val="24"/>
          <w:szCs w:val="24"/>
        </w:rPr>
        <w:t>.</w:t>
      </w:r>
    </w:p>
    <w:p w:rsidR="00AF2C13" w:rsidRDefault="00AF2C13" w:rsidP="00AF2C13">
      <w:pPr>
        <w:pStyle w:val="NoSpacing"/>
        <w:jc w:val="both"/>
        <w:rPr>
          <w:rFonts w:ascii="Times New Roman" w:hAnsi="Times New Roman" w:cs="Times New Roman"/>
          <w:b/>
          <w:sz w:val="24"/>
          <w:szCs w:val="24"/>
        </w:rPr>
      </w:pPr>
    </w:p>
    <w:p w:rsidR="0010350D" w:rsidRDefault="0010350D" w:rsidP="004138AE">
      <w:pPr>
        <w:pStyle w:val="NoSpacing"/>
        <w:ind w:left="720" w:hanging="720"/>
        <w:jc w:val="both"/>
        <w:outlineLvl w:val="1"/>
        <w:rPr>
          <w:rFonts w:ascii="Times New Roman" w:hAnsi="Times New Roman" w:cs="Times New Roman"/>
          <w:b/>
          <w:sz w:val="24"/>
          <w:szCs w:val="24"/>
        </w:rPr>
      </w:pPr>
    </w:p>
    <w:p w:rsidR="0010350D" w:rsidRDefault="0010350D" w:rsidP="004138AE">
      <w:pPr>
        <w:pStyle w:val="NoSpacing"/>
        <w:ind w:left="720" w:hanging="720"/>
        <w:jc w:val="both"/>
        <w:outlineLvl w:val="1"/>
        <w:rPr>
          <w:rFonts w:ascii="Times New Roman" w:hAnsi="Times New Roman" w:cs="Times New Roman"/>
          <w:b/>
          <w:sz w:val="24"/>
          <w:szCs w:val="24"/>
        </w:rPr>
      </w:pPr>
    </w:p>
    <w:p w:rsidR="0010350D" w:rsidRDefault="0010350D" w:rsidP="004138AE">
      <w:pPr>
        <w:pStyle w:val="NoSpacing"/>
        <w:ind w:left="720" w:hanging="720"/>
        <w:jc w:val="both"/>
        <w:outlineLvl w:val="1"/>
        <w:rPr>
          <w:rFonts w:ascii="Times New Roman" w:hAnsi="Times New Roman" w:cs="Times New Roman"/>
          <w:b/>
          <w:sz w:val="24"/>
          <w:szCs w:val="24"/>
        </w:rPr>
      </w:pPr>
    </w:p>
    <w:p w:rsidR="00C80865" w:rsidRDefault="00C80865" w:rsidP="004138AE">
      <w:pPr>
        <w:pStyle w:val="NoSpacing"/>
        <w:ind w:left="720" w:hanging="720"/>
        <w:jc w:val="both"/>
        <w:outlineLvl w:val="1"/>
        <w:rPr>
          <w:rFonts w:ascii="Times New Roman" w:hAnsi="Times New Roman" w:cs="Times New Roman"/>
          <w:b/>
          <w:sz w:val="24"/>
          <w:szCs w:val="24"/>
        </w:rPr>
      </w:pPr>
    </w:p>
    <w:p w:rsidR="00CD193E" w:rsidRDefault="00CD193E" w:rsidP="004138AE">
      <w:pPr>
        <w:pStyle w:val="NoSpacing"/>
        <w:ind w:left="720" w:hanging="720"/>
        <w:jc w:val="both"/>
        <w:outlineLvl w:val="1"/>
        <w:rPr>
          <w:rFonts w:ascii="Times New Roman" w:hAnsi="Times New Roman" w:cs="Times New Roman"/>
          <w:b/>
          <w:sz w:val="24"/>
          <w:szCs w:val="24"/>
        </w:rPr>
      </w:pPr>
    </w:p>
    <w:p w:rsidR="00E26622" w:rsidRDefault="00E26622" w:rsidP="004138AE">
      <w:pPr>
        <w:pStyle w:val="NoSpacing"/>
        <w:ind w:left="720" w:hanging="720"/>
        <w:jc w:val="both"/>
        <w:outlineLvl w:val="1"/>
        <w:rPr>
          <w:rFonts w:ascii="Times New Roman" w:hAnsi="Times New Roman" w:cs="Times New Roman"/>
          <w:b/>
          <w:sz w:val="24"/>
          <w:szCs w:val="24"/>
        </w:rPr>
      </w:pPr>
    </w:p>
    <w:p w:rsidR="00E26622" w:rsidRDefault="00E26622" w:rsidP="004138AE">
      <w:pPr>
        <w:pStyle w:val="NoSpacing"/>
        <w:ind w:left="720" w:hanging="720"/>
        <w:jc w:val="both"/>
        <w:outlineLvl w:val="1"/>
        <w:rPr>
          <w:rFonts w:ascii="Times New Roman" w:hAnsi="Times New Roman" w:cs="Times New Roman"/>
          <w:b/>
          <w:sz w:val="24"/>
          <w:szCs w:val="24"/>
        </w:rPr>
      </w:pPr>
    </w:p>
    <w:p w:rsidR="00E26622" w:rsidRDefault="00E26622" w:rsidP="004138AE">
      <w:pPr>
        <w:pStyle w:val="NoSpacing"/>
        <w:ind w:left="720" w:hanging="720"/>
        <w:jc w:val="both"/>
        <w:outlineLvl w:val="1"/>
        <w:rPr>
          <w:rFonts w:ascii="Times New Roman" w:hAnsi="Times New Roman" w:cs="Times New Roman"/>
          <w:b/>
          <w:sz w:val="24"/>
          <w:szCs w:val="24"/>
        </w:rPr>
      </w:pPr>
    </w:p>
    <w:p w:rsidR="00E26622" w:rsidRDefault="00E26622" w:rsidP="004138AE">
      <w:pPr>
        <w:pStyle w:val="NoSpacing"/>
        <w:ind w:left="720" w:hanging="720"/>
        <w:jc w:val="both"/>
        <w:outlineLvl w:val="1"/>
        <w:rPr>
          <w:rFonts w:ascii="Times New Roman" w:hAnsi="Times New Roman" w:cs="Times New Roman"/>
          <w:b/>
          <w:sz w:val="24"/>
          <w:szCs w:val="24"/>
        </w:rPr>
      </w:pPr>
    </w:p>
    <w:p w:rsidR="00E26622" w:rsidRDefault="00E26622" w:rsidP="004138AE">
      <w:pPr>
        <w:pStyle w:val="NoSpacing"/>
        <w:ind w:left="720" w:hanging="720"/>
        <w:jc w:val="both"/>
        <w:outlineLvl w:val="1"/>
        <w:rPr>
          <w:rFonts w:ascii="Times New Roman" w:hAnsi="Times New Roman" w:cs="Times New Roman"/>
          <w:b/>
          <w:sz w:val="24"/>
          <w:szCs w:val="24"/>
        </w:rPr>
      </w:pPr>
    </w:p>
    <w:p w:rsidR="00E26622" w:rsidRDefault="00E26622" w:rsidP="004138AE">
      <w:pPr>
        <w:pStyle w:val="NoSpacing"/>
        <w:ind w:left="720" w:hanging="720"/>
        <w:jc w:val="both"/>
        <w:outlineLvl w:val="1"/>
        <w:rPr>
          <w:rFonts w:ascii="Times New Roman" w:hAnsi="Times New Roman" w:cs="Times New Roman"/>
          <w:b/>
          <w:sz w:val="24"/>
          <w:szCs w:val="24"/>
        </w:rPr>
      </w:pPr>
    </w:p>
    <w:p w:rsidR="00300E0E" w:rsidRDefault="00300E0E" w:rsidP="004138AE">
      <w:pPr>
        <w:pStyle w:val="NoSpacing"/>
        <w:ind w:left="720" w:hanging="720"/>
        <w:jc w:val="both"/>
        <w:outlineLvl w:val="1"/>
        <w:rPr>
          <w:rFonts w:ascii="Times New Roman" w:hAnsi="Times New Roman" w:cs="Times New Roman"/>
          <w:b/>
          <w:sz w:val="24"/>
          <w:szCs w:val="24"/>
        </w:rPr>
      </w:pPr>
      <w:r>
        <w:rPr>
          <w:rFonts w:ascii="Times New Roman" w:hAnsi="Times New Roman" w:cs="Times New Roman"/>
          <w:b/>
          <w:sz w:val="24"/>
          <w:szCs w:val="24"/>
        </w:rPr>
        <w:t xml:space="preserve">2.3 </w:t>
      </w:r>
      <w:r w:rsidRPr="007E5E94">
        <w:rPr>
          <w:rFonts w:ascii="Times New Roman" w:hAnsi="Times New Roman" w:cs="Times New Roman"/>
          <w:b/>
          <w:sz w:val="24"/>
          <w:szCs w:val="24"/>
          <w:u w:val="single"/>
        </w:rPr>
        <w:t>LIQUIDITY RATIO</w:t>
      </w:r>
      <w:bookmarkEnd w:id="13"/>
    </w:p>
    <w:p w:rsidR="00E77193" w:rsidRDefault="00E77193" w:rsidP="004138AE">
      <w:pPr>
        <w:pStyle w:val="NoSpacing"/>
        <w:ind w:left="720" w:hanging="720"/>
        <w:jc w:val="both"/>
        <w:outlineLvl w:val="1"/>
        <w:rPr>
          <w:rFonts w:ascii="Times New Roman" w:hAnsi="Times New Roman" w:cs="Times New Roman"/>
          <w:b/>
          <w:sz w:val="24"/>
          <w:szCs w:val="24"/>
        </w:rPr>
      </w:pPr>
    </w:p>
    <w:p w:rsidR="00E77193" w:rsidRPr="00616DFA" w:rsidRDefault="006009DC"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FB42AF">
        <w:rPr>
          <w:rFonts w:ascii="Times New Roman" w:hAnsi="Times New Roman" w:cs="Times New Roman"/>
          <w:sz w:val="24"/>
          <w:szCs w:val="24"/>
        </w:rPr>
        <w:t>Liquidity ratio measures the ability of a firm</w:t>
      </w:r>
      <w:r w:rsidR="00C77A01">
        <w:rPr>
          <w:rFonts w:ascii="Times New Roman" w:hAnsi="Times New Roman" w:cs="Times New Roman"/>
          <w:sz w:val="24"/>
          <w:szCs w:val="24"/>
        </w:rPr>
        <w:t xml:space="preserve"> to pay off </w:t>
      </w:r>
      <w:r w:rsidR="00AC4E70">
        <w:rPr>
          <w:rFonts w:ascii="Times New Roman" w:hAnsi="Times New Roman" w:cs="Times New Roman"/>
          <w:sz w:val="24"/>
          <w:szCs w:val="24"/>
        </w:rPr>
        <w:t>short</w:t>
      </w:r>
      <w:r w:rsidR="00706B68">
        <w:rPr>
          <w:rFonts w:ascii="Times New Roman" w:hAnsi="Times New Roman" w:cs="Times New Roman"/>
          <w:sz w:val="24"/>
          <w:szCs w:val="24"/>
        </w:rPr>
        <w:t xml:space="preserve"> term </w:t>
      </w:r>
      <w:r w:rsidR="00E77193">
        <w:rPr>
          <w:rFonts w:ascii="Times New Roman" w:hAnsi="Times New Roman" w:cs="Times New Roman"/>
          <w:sz w:val="24"/>
          <w:szCs w:val="24"/>
        </w:rPr>
        <w:t>obligations as they become due.  The liquidity ratios presented in this document are</w:t>
      </w:r>
      <w:r w:rsidRPr="008752A1">
        <w:rPr>
          <w:rFonts w:ascii="Times New Roman" w:hAnsi="Times New Roman" w:cs="Times New Roman"/>
          <w:sz w:val="24"/>
          <w:szCs w:val="24"/>
        </w:rPr>
        <w:t>;</w:t>
      </w:r>
      <w:r w:rsidR="00E77193" w:rsidRPr="008752A1">
        <w:rPr>
          <w:rFonts w:ascii="Times New Roman" w:hAnsi="Times New Roman" w:cs="Times New Roman"/>
          <w:sz w:val="24"/>
          <w:szCs w:val="24"/>
        </w:rPr>
        <w:t xml:space="preserve"> cash flow in</w:t>
      </w:r>
      <w:r w:rsidR="00DF451C" w:rsidRPr="008752A1">
        <w:rPr>
          <w:rFonts w:ascii="Times New Roman" w:hAnsi="Times New Roman" w:cs="Times New Roman"/>
          <w:sz w:val="24"/>
          <w:szCs w:val="24"/>
        </w:rPr>
        <w:t xml:space="preserve">terest </w:t>
      </w:r>
      <w:r w:rsidR="0049426C">
        <w:rPr>
          <w:rFonts w:ascii="Times New Roman" w:hAnsi="Times New Roman" w:cs="Times New Roman"/>
          <w:sz w:val="24"/>
          <w:szCs w:val="24"/>
        </w:rPr>
        <w:t>cover, c</w:t>
      </w:r>
      <w:r w:rsidR="008752A1">
        <w:rPr>
          <w:rFonts w:ascii="Times New Roman" w:hAnsi="Times New Roman" w:cs="Times New Roman"/>
          <w:sz w:val="24"/>
          <w:szCs w:val="24"/>
        </w:rPr>
        <w:t>urrent</w:t>
      </w:r>
      <w:r w:rsidR="008752A1" w:rsidRPr="008752A1">
        <w:rPr>
          <w:rFonts w:ascii="Times New Roman" w:hAnsi="Times New Roman" w:cs="Times New Roman"/>
          <w:sz w:val="24"/>
          <w:szCs w:val="24"/>
        </w:rPr>
        <w:t xml:space="preserve"> ratio </w:t>
      </w:r>
      <w:r w:rsidR="00DF451C" w:rsidRPr="008752A1">
        <w:rPr>
          <w:rFonts w:ascii="Times New Roman" w:hAnsi="Times New Roman" w:cs="Times New Roman"/>
          <w:sz w:val="24"/>
          <w:szCs w:val="24"/>
        </w:rPr>
        <w:t>and operating cost covered by revenue</w:t>
      </w:r>
      <w:r w:rsidR="00E77193" w:rsidRPr="008752A1">
        <w:rPr>
          <w:rFonts w:ascii="Times New Roman" w:hAnsi="Times New Roman" w:cs="Times New Roman"/>
          <w:sz w:val="24"/>
          <w:szCs w:val="24"/>
        </w:rPr>
        <w:t>.</w:t>
      </w:r>
      <w:r w:rsidR="00FB42AF">
        <w:rPr>
          <w:rFonts w:ascii="Times New Roman" w:hAnsi="Times New Roman" w:cs="Times New Roman"/>
          <w:sz w:val="24"/>
          <w:szCs w:val="24"/>
        </w:rPr>
        <w:t xml:space="preserve"> </w:t>
      </w:r>
      <w:r w:rsidR="003F2D8A">
        <w:rPr>
          <w:rFonts w:ascii="Times New Roman" w:hAnsi="Times New Roman" w:cs="Times New Roman"/>
          <w:sz w:val="24"/>
          <w:szCs w:val="24"/>
        </w:rPr>
        <w:t>However, no information was available from CARILEC and the US</w:t>
      </w:r>
      <w:r>
        <w:rPr>
          <w:rFonts w:ascii="Times New Roman" w:hAnsi="Times New Roman" w:cs="Times New Roman"/>
          <w:sz w:val="24"/>
          <w:szCs w:val="24"/>
        </w:rPr>
        <w:t>IEU</w:t>
      </w:r>
      <w:r w:rsidR="003F2D8A">
        <w:rPr>
          <w:rFonts w:ascii="Times New Roman" w:hAnsi="Times New Roman" w:cs="Times New Roman"/>
          <w:sz w:val="24"/>
          <w:szCs w:val="24"/>
        </w:rPr>
        <w:t xml:space="preserve"> in respect of cash flow interest cover. </w:t>
      </w:r>
      <w:r w:rsidR="00FB42AF">
        <w:rPr>
          <w:rFonts w:ascii="Times New Roman" w:hAnsi="Times New Roman" w:cs="Times New Roman"/>
          <w:sz w:val="24"/>
          <w:szCs w:val="24"/>
        </w:rPr>
        <w:t xml:space="preserve"> The higher the </w:t>
      </w:r>
      <w:r w:rsidR="00706B68">
        <w:rPr>
          <w:rFonts w:ascii="Times New Roman" w:hAnsi="Times New Roman" w:cs="Times New Roman"/>
          <w:sz w:val="24"/>
          <w:szCs w:val="24"/>
        </w:rPr>
        <w:t xml:space="preserve">ratio, the more liquid </w:t>
      </w:r>
      <w:r w:rsidR="00C544EE">
        <w:rPr>
          <w:rFonts w:ascii="Times New Roman" w:hAnsi="Times New Roman" w:cs="Times New Roman"/>
          <w:sz w:val="24"/>
          <w:szCs w:val="24"/>
        </w:rPr>
        <w:t xml:space="preserve">is </w:t>
      </w:r>
      <w:r w:rsidR="00F6268B">
        <w:rPr>
          <w:rFonts w:ascii="Times New Roman" w:hAnsi="Times New Roman" w:cs="Times New Roman"/>
          <w:sz w:val="24"/>
          <w:szCs w:val="24"/>
        </w:rPr>
        <w:t>the</w:t>
      </w:r>
      <w:r w:rsidR="00077113">
        <w:rPr>
          <w:rFonts w:ascii="Times New Roman" w:hAnsi="Times New Roman" w:cs="Times New Roman"/>
          <w:sz w:val="24"/>
          <w:szCs w:val="24"/>
        </w:rPr>
        <w:t xml:space="preserve"> company</w:t>
      </w:r>
      <w:r w:rsidR="00FB42AF">
        <w:rPr>
          <w:rFonts w:ascii="Times New Roman" w:hAnsi="Times New Roman" w:cs="Times New Roman"/>
          <w:sz w:val="24"/>
          <w:szCs w:val="24"/>
        </w:rPr>
        <w:t>.</w:t>
      </w:r>
    </w:p>
    <w:p w:rsidR="00E77193" w:rsidRPr="002E44FD" w:rsidRDefault="00E77193" w:rsidP="004138AE">
      <w:pPr>
        <w:pStyle w:val="NoSpacing"/>
        <w:ind w:left="720" w:hanging="720"/>
        <w:jc w:val="both"/>
        <w:outlineLvl w:val="1"/>
        <w:rPr>
          <w:rFonts w:ascii="Times New Roman" w:hAnsi="Times New Roman" w:cs="Times New Roman"/>
          <w:b/>
          <w:sz w:val="24"/>
          <w:szCs w:val="24"/>
        </w:rPr>
      </w:pPr>
    </w:p>
    <w:p w:rsidR="00300E0E" w:rsidRDefault="00300E0E" w:rsidP="004138AE">
      <w:pPr>
        <w:pStyle w:val="NoSpacing"/>
        <w:jc w:val="both"/>
        <w:rPr>
          <w:rFonts w:ascii="Times New Roman" w:hAnsi="Times New Roman" w:cs="Times New Roman"/>
          <w:sz w:val="24"/>
          <w:szCs w:val="24"/>
        </w:rPr>
      </w:pPr>
    </w:p>
    <w:p w:rsidR="00300E0E" w:rsidRPr="00300E0E" w:rsidRDefault="00300E0E" w:rsidP="004138AE">
      <w:pPr>
        <w:pStyle w:val="NoSpacing"/>
        <w:jc w:val="both"/>
        <w:rPr>
          <w:rFonts w:ascii="Times New Roman" w:hAnsi="Times New Roman" w:cs="Times New Roman"/>
          <w:b/>
          <w:sz w:val="24"/>
          <w:szCs w:val="24"/>
        </w:rPr>
      </w:pPr>
      <w:r w:rsidRPr="008752A1">
        <w:rPr>
          <w:rFonts w:ascii="Times New Roman" w:hAnsi="Times New Roman" w:cs="Times New Roman"/>
          <w:b/>
          <w:sz w:val="24"/>
          <w:szCs w:val="24"/>
        </w:rPr>
        <w:t>a. Cash Flow Interest Cover</w:t>
      </w:r>
    </w:p>
    <w:p w:rsidR="00300E0E" w:rsidRDefault="00300E0E" w:rsidP="004138AE">
      <w:pPr>
        <w:pStyle w:val="NoSpacing"/>
        <w:jc w:val="both"/>
        <w:rPr>
          <w:rFonts w:ascii="Times New Roman" w:hAnsi="Times New Roman" w:cs="Times New Roman"/>
          <w:b/>
          <w:sz w:val="24"/>
          <w:szCs w:val="24"/>
          <w:u w:val="single"/>
        </w:rPr>
      </w:pPr>
    </w:p>
    <w:p w:rsidR="00300E0E" w:rsidRDefault="00300E0E" w:rsidP="004138AE">
      <w:pPr>
        <w:pStyle w:val="NoSpacing"/>
        <w:jc w:val="both"/>
        <w:rPr>
          <w:rFonts w:ascii="Times New Roman" w:hAnsi="Times New Roman" w:cs="Times New Roman"/>
          <w:sz w:val="24"/>
          <w:szCs w:val="24"/>
        </w:rPr>
      </w:pPr>
      <w:r>
        <w:rPr>
          <w:rFonts w:ascii="Times New Roman" w:hAnsi="Times New Roman" w:cs="Times New Roman"/>
          <w:sz w:val="24"/>
          <w:szCs w:val="24"/>
        </w:rPr>
        <w:t>Cash Flow Interest Cover measures the ability of a company to pay interest from generated cash flow, the higher the ratio, the more liquid the company.  The indicator is calculated as:</w:t>
      </w:r>
    </w:p>
    <w:p w:rsidR="00300E0E" w:rsidRDefault="00300E0E" w:rsidP="004138AE">
      <w:pPr>
        <w:pStyle w:val="NoSpacing"/>
        <w:jc w:val="both"/>
        <w:rPr>
          <w:rFonts w:ascii="Times New Roman" w:hAnsi="Times New Roman" w:cs="Times New Roman"/>
          <w:sz w:val="24"/>
          <w:szCs w:val="24"/>
        </w:rPr>
      </w:pPr>
    </w:p>
    <w:p w:rsidR="00706B68" w:rsidRDefault="00CC3435" w:rsidP="004138AE">
      <w:pPr>
        <w:pStyle w:val="NoSpacing"/>
        <w:tabs>
          <w:tab w:val="left" w:pos="3515"/>
        </w:tabs>
        <w:jc w:val="both"/>
        <w:rPr>
          <w:rFonts w:ascii="Times New Roman" w:hAnsi="Times New Roman" w:cs="Times New Roman"/>
          <w:sz w:val="24"/>
          <w:szCs w:val="24"/>
        </w:rPr>
      </w:pPr>
      <w:r>
        <w:rPr>
          <w:rFonts w:ascii="Times New Roman" w:hAnsi="Times New Roman" w:cs="Times New Roman"/>
          <w:sz w:val="24"/>
          <w:szCs w:val="24"/>
        </w:rPr>
        <w:t>Cash</w:t>
      </w:r>
      <w:r w:rsidR="00C544EE">
        <w:rPr>
          <w:rFonts w:ascii="Times New Roman" w:hAnsi="Times New Roman" w:cs="Times New Roman"/>
          <w:sz w:val="24"/>
          <w:szCs w:val="24"/>
        </w:rPr>
        <w:t xml:space="preserve"> F</w:t>
      </w:r>
      <w:r w:rsidR="00300E0E">
        <w:rPr>
          <w:rFonts w:ascii="Times New Roman" w:hAnsi="Times New Roman" w:cs="Times New Roman"/>
          <w:sz w:val="24"/>
          <w:szCs w:val="24"/>
        </w:rPr>
        <w:t>low Int</w:t>
      </w:r>
      <w:r>
        <w:rPr>
          <w:rFonts w:ascii="Times New Roman" w:hAnsi="Times New Roman" w:cs="Times New Roman"/>
          <w:sz w:val="24"/>
          <w:szCs w:val="24"/>
        </w:rPr>
        <w:t>erest Coverage</w:t>
      </w:r>
      <w:r w:rsidR="00300E0E">
        <w:rPr>
          <w:rFonts w:ascii="Times New Roman" w:hAnsi="Times New Roman" w:cs="Times New Roman"/>
          <w:sz w:val="24"/>
          <w:szCs w:val="24"/>
        </w:rPr>
        <w:t xml:space="preserve"> = Operating cash flow + paid interest * (1-t) / Paid interest </w:t>
      </w:r>
    </w:p>
    <w:p w:rsidR="00300E0E" w:rsidRDefault="00706B68" w:rsidP="004138AE">
      <w:pPr>
        <w:pStyle w:val="NoSpacing"/>
        <w:tabs>
          <w:tab w:val="left" w:pos="3515"/>
        </w:tabs>
        <w:jc w:val="both"/>
        <w:rPr>
          <w:rFonts w:ascii="Times New Roman" w:hAnsi="Times New Roman" w:cs="Times New Roman"/>
          <w:sz w:val="24"/>
          <w:szCs w:val="24"/>
        </w:rPr>
      </w:pPr>
      <w:r>
        <w:rPr>
          <w:rFonts w:ascii="Times New Roman" w:hAnsi="Times New Roman" w:cs="Times New Roman"/>
          <w:sz w:val="24"/>
          <w:szCs w:val="24"/>
        </w:rPr>
        <w:t xml:space="preserve">                                            </w:t>
      </w:r>
      <w:r w:rsidR="00300E0E">
        <w:rPr>
          <w:rFonts w:ascii="Times New Roman" w:hAnsi="Times New Roman" w:cs="Times New Roman"/>
          <w:sz w:val="24"/>
          <w:szCs w:val="24"/>
        </w:rPr>
        <w:t>*(1-t)</w:t>
      </w:r>
      <w:r w:rsidR="00AE4841">
        <w:rPr>
          <w:rFonts w:ascii="Times New Roman" w:hAnsi="Times New Roman" w:cs="Times New Roman"/>
          <w:sz w:val="24"/>
          <w:szCs w:val="24"/>
        </w:rPr>
        <w:t xml:space="preserve"> </w:t>
      </w:r>
      <w:r w:rsidR="00CC3435">
        <w:rPr>
          <w:rFonts w:ascii="Times New Roman" w:hAnsi="Times New Roman" w:cs="Times New Roman"/>
          <w:sz w:val="24"/>
          <w:szCs w:val="24"/>
        </w:rPr>
        <w:t>(</w:t>
      </w:r>
      <w:r w:rsidR="00300E0E">
        <w:rPr>
          <w:rFonts w:ascii="Times New Roman" w:hAnsi="Times New Roman" w:cs="Times New Roman"/>
          <w:sz w:val="24"/>
          <w:szCs w:val="24"/>
        </w:rPr>
        <w:t>Where: t is income tax rate</w:t>
      </w:r>
      <w:r w:rsidR="00CC3435">
        <w:rPr>
          <w:rFonts w:ascii="Times New Roman" w:hAnsi="Times New Roman" w:cs="Times New Roman"/>
          <w:sz w:val="24"/>
          <w:szCs w:val="24"/>
        </w:rPr>
        <w:t>)</w:t>
      </w:r>
    </w:p>
    <w:p w:rsidR="00AE4841" w:rsidRDefault="00AE4841" w:rsidP="004138AE">
      <w:pPr>
        <w:pStyle w:val="NoSpacing"/>
        <w:tabs>
          <w:tab w:val="left" w:pos="3515"/>
        </w:tabs>
        <w:jc w:val="both"/>
        <w:rPr>
          <w:rFonts w:ascii="Times New Roman" w:hAnsi="Times New Roman" w:cs="Times New Roman"/>
          <w:sz w:val="24"/>
          <w:szCs w:val="24"/>
        </w:rPr>
      </w:pPr>
    </w:p>
    <w:p w:rsidR="00AE4841" w:rsidRPr="00AE4841" w:rsidRDefault="0003645E" w:rsidP="004138AE">
      <w:pPr>
        <w:pStyle w:val="NoSpacing"/>
        <w:tabs>
          <w:tab w:val="left" w:pos="351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AE4841" w:rsidRPr="00AE4841">
        <w:rPr>
          <w:rFonts w:ascii="Times New Roman" w:hAnsi="Times New Roman" w:cs="Times New Roman"/>
          <w:b/>
          <w:sz w:val="24"/>
          <w:szCs w:val="24"/>
        </w:rPr>
        <w:t>Table 5: Cash flow Interest Cover 2012-2016</w:t>
      </w:r>
    </w:p>
    <w:p w:rsidR="00427271" w:rsidRDefault="00427271" w:rsidP="004138AE">
      <w:pPr>
        <w:pStyle w:val="NoSpacing"/>
        <w:jc w:val="both"/>
        <w:rPr>
          <w:rFonts w:ascii="Times New Roman" w:hAnsi="Times New Roman" w:cs="Times New Roman"/>
          <w:sz w:val="24"/>
          <w:szCs w:val="24"/>
        </w:rPr>
      </w:pPr>
    </w:p>
    <w:tbl>
      <w:tblPr>
        <w:tblW w:w="5940" w:type="dxa"/>
        <w:tblInd w:w="738" w:type="dxa"/>
        <w:tblLook w:val="04A0"/>
      </w:tblPr>
      <w:tblGrid>
        <w:gridCol w:w="1440"/>
        <w:gridCol w:w="1440"/>
        <w:gridCol w:w="1260"/>
        <w:gridCol w:w="1800"/>
      </w:tblGrid>
      <w:tr w:rsidR="007D6604" w:rsidRPr="00427271" w:rsidTr="00DC1F7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 </w:t>
            </w:r>
            <w:r w:rsidR="00DC1F77">
              <w:rPr>
                <w:rFonts w:ascii="Calibri" w:eastAsia="Times New Roman" w:hAnsi="Calibri" w:cs="Times New Roman"/>
                <w:color w:val="000000"/>
              </w:rPr>
              <w:t xml:space="preserve">              </w:t>
            </w:r>
          </w:p>
        </w:tc>
        <w:tc>
          <w:tcPr>
            <w:tcW w:w="4500" w:type="dxa"/>
            <w:gridSpan w:val="3"/>
            <w:tcBorders>
              <w:top w:val="single" w:sz="4" w:space="0" w:color="auto"/>
              <w:bottom w:val="single" w:sz="4" w:space="0" w:color="auto"/>
              <w:right w:val="single" w:sz="4" w:space="0" w:color="auto"/>
            </w:tcBorders>
            <w:shd w:val="clear" w:color="auto" w:fill="auto"/>
          </w:tcPr>
          <w:p w:rsidR="007D6604" w:rsidRPr="007D6604" w:rsidRDefault="007D6604" w:rsidP="004138AE">
            <w:pPr>
              <w:rPr>
                <w:b/>
              </w:rPr>
            </w:pPr>
            <w:r w:rsidRPr="007D6604">
              <w:rPr>
                <w:b/>
              </w:rPr>
              <w:t>Cash Flow Interest Cover</w:t>
            </w:r>
          </w:p>
        </w:tc>
      </w:tr>
      <w:tr w:rsidR="007D6604" w:rsidRPr="00427271" w:rsidTr="00DC1F77">
        <w:trPr>
          <w:trHeight w:val="9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b/>
                <w:bCs/>
                <w:color w:val="000000"/>
              </w:rPr>
            </w:pPr>
            <w:r w:rsidRPr="00427271">
              <w:rPr>
                <w:rFonts w:ascii="Calibri" w:eastAsia="Times New Roman" w:hAnsi="Calibri" w:cs="Times New Roman"/>
                <w:b/>
                <w:bCs/>
                <w:color w:val="000000"/>
              </w:rPr>
              <w:t>Years</w:t>
            </w:r>
          </w:p>
        </w:tc>
        <w:tc>
          <w:tcPr>
            <w:tcW w:w="144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b/>
                <w:bCs/>
                <w:color w:val="000000"/>
              </w:rPr>
            </w:pPr>
            <w:r w:rsidRPr="00427271">
              <w:rPr>
                <w:rFonts w:ascii="Calibri" w:eastAsia="Times New Roman" w:hAnsi="Calibri" w:cs="Times New Roman"/>
                <w:b/>
                <w:bCs/>
                <w:color w:val="000000"/>
              </w:rPr>
              <w:t>DOMLEC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b/>
                <w:bCs/>
                <w:color w:val="000000"/>
              </w:rPr>
            </w:pPr>
            <w:r w:rsidRPr="00427271">
              <w:rPr>
                <w:rFonts w:ascii="Calibri" w:eastAsia="Times New Roman" w:hAnsi="Calibri" w:cs="Times New Roman"/>
                <w:b/>
                <w:bCs/>
                <w:color w:val="000000"/>
              </w:rPr>
              <w:t>LUCELEC</w:t>
            </w:r>
          </w:p>
        </w:tc>
        <w:tc>
          <w:tcPr>
            <w:tcW w:w="180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b/>
                <w:bCs/>
                <w:color w:val="000000"/>
              </w:rPr>
            </w:pPr>
            <w:r w:rsidRPr="00427271">
              <w:rPr>
                <w:rFonts w:ascii="Calibri" w:eastAsia="Times New Roman" w:hAnsi="Calibri" w:cs="Times New Roman"/>
                <w:b/>
                <w:bCs/>
                <w:color w:val="000000"/>
              </w:rPr>
              <w:t xml:space="preserve"> GRENLEC</w:t>
            </w:r>
          </w:p>
        </w:tc>
      </w:tr>
      <w:tr w:rsidR="007D6604" w:rsidRPr="00427271"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 </w:t>
            </w:r>
          </w:p>
        </w:tc>
      </w:tr>
      <w:tr w:rsidR="007D6604" w:rsidRPr="00427271"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2012</w:t>
            </w:r>
          </w:p>
        </w:tc>
        <w:tc>
          <w:tcPr>
            <w:tcW w:w="144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10.15</w:t>
            </w:r>
          </w:p>
        </w:tc>
        <w:tc>
          <w:tcPr>
            <w:tcW w:w="126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7.78</w:t>
            </w:r>
          </w:p>
        </w:tc>
        <w:tc>
          <w:tcPr>
            <w:tcW w:w="180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3.38</w:t>
            </w:r>
          </w:p>
        </w:tc>
      </w:tr>
      <w:tr w:rsidR="007D6604" w:rsidRPr="00427271"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2013</w:t>
            </w:r>
          </w:p>
        </w:tc>
        <w:tc>
          <w:tcPr>
            <w:tcW w:w="144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12.39</w:t>
            </w:r>
          </w:p>
        </w:tc>
        <w:tc>
          <w:tcPr>
            <w:tcW w:w="126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4.56</w:t>
            </w:r>
          </w:p>
        </w:tc>
        <w:tc>
          <w:tcPr>
            <w:tcW w:w="180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3.24</w:t>
            </w:r>
          </w:p>
        </w:tc>
      </w:tr>
      <w:tr w:rsidR="007D6604" w:rsidRPr="00427271"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2014</w:t>
            </w:r>
          </w:p>
        </w:tc>
        <w:tc>
          <w:tcPr>
            <w:tcW w:w="144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14.74</w:t>
            </w:r>
          </w:p>
        </w:tc>
        <w:tc>
          <w:tcPr>
            <w:tcW w:w="126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4.46</w:t>
            </w:r>
          </w:p>
        </w:tc>
        <w:tc>
          <w:tcPr>
            <w:tcW w:w="180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6.31</w:t>
            </w:r>
          </w:p>
        </w:tc>
      </w:tr>
      <w:tr w:rsidR="007D6604" w:rsidRPr="00427271"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2015</w:t>
            </w:r>
          </w:p>
        </w:tc>
        <w:tc>
          <w:tcPr>
            <w:tcW w:w="144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14.73</w:t>
            </w:r>
          </w:p>
        </w:tc>
        <w:tc>
          <w:tcPr>
            <w:tcW w:w="126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8.19</w:t>
            </w:r>
          </w:p>
        </w:tc>
        <w:tc>
          <w:tcPr>
            <w:tcW w:w="180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4.15</w:t>
            </w:r>
          </w:p>
        </w:tc>
      </w:tr>
      <w:tr w:rsidR="007D6604" w:rsidRPr="00427271"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2016</w:t>
            </w:r>
          </w:p>
        </w:tc>
        <w:tc>
          <w:tcPr>
            <w:tcW w:w="1440" w:type="dxa"/>
            <w:tcBorders>
              <w:top w:val="nil"/>
              <w:left w:val="nil"/>
              <w:bottom w:val="single" w:sz="4" w:space="0" w:color="auto"/>
              <w:right w:val="single" w:sz="4" w:space="0" w:color="auto"/>
            </w:tcBorders>
            <w:shd w:val="clear" w:color="auto" w:fill="auto"/>
            <w:noWrap/>
            <w:vAlign w:val="bottom"/>
            <w:hideMark/>
          </w:tcPr>
          <w:p w:rsidR="007D6604" w:rsidRPr="00427271" w:rsidRDefault="007D6604" w:rsidP="004138AE">
            <w:pPr>
              <w:rPr>
                <w:rFonts w:ascii="Calibri" w:eastAsia="Times New Roman" w:hAnsi="Calibri" w:cs="Times New Roman"/>
                <w:color w:val="000000"/>
              </w:rPr>
            </w:pPr>
            <w:r w:rsidRPr="00427271">
              <w:rPr>
                <w:rFonts w:ascii="Calibri" w:eastAsia="Times New Roman" w:hAnsi="Calibri" w:cs="Times New Roman"/>
                <w:color w:val="000000"/>
              </w:rPr>
              <w:t>23.33</w:t>
            </w:r>
          </w:p>
        </w:tc>
        <w:tc>
          <w:tcPr>
            <w:tcW w:w="1260" w:type="dxa"/>
            <w:tcBorders>
              <w:top w:val="nil"/>
              <w:left w:val="nil"/>
              <w:bottom w:val="single" w:sz="4" w:space="0" w:color="auto"/>
              <w:right w:val="single" w:sz="4" w:space="0" w:color="auto"/>
            </w:tcBorders>
            <w:shd w:val="clear" w:color="auto" w:fill="auto"/>
            <w:noWrap/>
            <w:vAlign w:val="bottom"/>
            <w:hideMark/>
          </w:tcPr>
          <w:p w:rsidR="007D6604" w:rsidRPr="00EA4E19" w:rsidRDefault="007D6604" w:rsidP="004138AE">
            <w:pPr>
              <w:rPr>
                <w:rFonts w:ascii="Calibri" w:eastAsia="Times New Roman" w:hAnsi="Calibri" w:cs="Times New Roman"/>
                <w:color w:val="000000"/>
              </w:rPr>
            </w:pPr>
            <w:r w:rsidRPr="00EA4E19">
              <w:rPr>
                <w:rFonts w:ascii="Calibri" w:eastAsia="Times New Roman" w:hAnsi="Calibri" w:cs="Times New Roman"/>
                <w:color w:val="000000"/>
              </w:rPr>
              <w:t>NA</w:t>
            </w:r>
          </w:p>
        </w:tc>
        <w:tc>
          <w:tcPr>
            <w:tcW w:w="1800" w:type="dxa"/>
            <w:tcBorders>
              <w:top w:val="nil"/>
              <w:left w:val="nil"/>
              <w:bottom w:val="single" w:sz="4" w:space="0" w:color="auto"/>
              <w:right w:val="single" w:sz="4" w:space="0" w:color="auto"/>
            </w:tcBorders>
            <w:shd w:val="clear" w:color="auto" w:fill="auto"/>
            <w:noWrap/>
            <w:vAlign w:val="bottom"/>
            <w:hideMark/>
          </w:tcPr>
          <w:p w:rsidR="007D6604" w:rsidRPr="00EA4E19" w:rsidRDefault="007D6604" w:rsidP="004138AE">
            <w:pPr>
              <w:rPr>
                <w:rFonts w:ascii="Calibri" w:eastAsia="Times New Roman" w:hAnsi="Calibri" w:cs="Times New Roman"/>
                <w:color w:val="000000"/>
              </w:rPr>
            </w:pPr>
            <w:r w:rsidRPr="00EA4E19">
              <w:rPr>
                <w:rFonts w:ascii="Calibri" w:eastAsia="Times New Roman" w:hAnsi="Calibri" w:cs="Times New Roman"/>
                <w:color w:val="000000"/>
              </w:rPr>
              <w:t>NA</w:t>
            </w:r>
          </w:p>
        </w:tc>
      </w:tr>
    </w:tbl>
    <w:p w:rsidR="00427271" w:rsidRDefault="00427271" w:rsidP="004138AE">
      <w:pPr>
        <w:pStyle w:val="NoSpacing"/>
        <w:jc w:val="both"/>
        <w:rPr>
          <w:rFonts w:ascii="Times New Roman" w:hAnsi="Times New Roman" w:cs="Times New Roman"/>
          <w:sz w:val="24"/>
          <w:szCs w:val="24"/>
        </w:rPr>
      </w:pPr>
    </w:p>
    <w:p w:rsidR="006E08BC" w:rsidRPr="00093A13" w:rsidRDefault="006E08BC" w:rsidP="004138AE">
      <w:pPr>
        <w:pStyle w:val="NoSpacing"/>
        <w:jc w:val="both"/>
        <w:rPr>
          <w:rFonts w:ascii="Times New Roman" w:hAnsi="Times New Roman" w:cs="Times New Roman"/>
          <w:sz w:val="24"/>
          <w:szCs w:val="24"/>
        </w:rPr>
      </w:pPr>
    </w:p>
    <w:p w:rsidR="00EA4E19" w:rsidRDefault="00C63538"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indicator shows that </w:t>
      </w:r>
      <w:r w:rsidR="00EA4E19">
        <w:rPr>
          <w:rFonts w:ascii="Times New Roman" w:hAnsi="Times New Roman" w:cs="Times New Roman"/>
          <w:sz w:val="24"/>
          <w:szCs w:val="24"/>
        </w:rPr>
        <w:t>DOMLEC’s</w:t>
      </w:r>
      <w:r w:rsidR="00300E0E">
        <w:rPr>
          <w:rFonts w:ascii="Times New Roman" w:hAnsi="Times New Roman" w:cs="Times New Roman"/>
          <w:sz w:val="24"/>
          <w:szCs w:val="24"/>
        </w:rPr>
        <w:t xml:space="preserve"> </w:t>
      </w:r>
      <w:r w:rsidR="00300E0E" w:rsidRPr="00D74602">
        <w:rPr>
          <w:rFonts w:ascii="Times New Roman" w:hAnsi="Times New Roman" w:cs="Times New Roman"/>
          <w:sz w:val="24"/>
          <w:szCs w:val="24"/>
        </w:rPr>
        <w:t xml:space="preserve">cash flow </w:t>
      </w:r>
      <w:r w:rsidR="006E08BC" w:rsidRPr="00D74602">
        <w:rPr>
          <w:rFonts w:ascii="Times New Roman" w:hAnsi="Times New Roman" w:cs="Times New Roman"/>
          <w:sz w:val="24"/>
          <w:szCs w:val="24"/>
        </w:rPr>
        <w:t>interest</w:t>
      </w:r>
      <w:r w:rsidR="006E08BC">
        <w:rPr>
          <w:rFonts w:ascii="Times New Roman" w:hAnsi="Times New Roman" w:cs="Times New Roman"/>
          <w:sz w:val="24"/>
          <w:szCs w:val="24"/>
        </w:rPr>
        <w:t xml:space="preserve"> </w:t>
      </w:r>
      <w:r>
        <w:rPr>
          <w:rFonts w:ascii="Times New Roman" w:hAnsi="Times New Roman" w:cs="Times New Roman"/>
          <w:sz w:val="24"/>
          <w:szCs w:val="24"/>
        </w:rPr>
        <w:t xml:space="preserve">cover </w:t>
      </w:r>
      <w:r w:rsidR="006E08BC">
        <w:rPr>
          <w:rFonts w:ascii="Times New Roman" w:hAnsi="Times New Roman" w:cs="Times New Roman"/>
          <w:sz w:val="24"/>
          <w:szCs w:val="24"/>
        </w:rPr>
        <w:t>increased</w:t>
      </w:r>
      <w:r w:rsidR="007453B7">
        <w:rPr>
          <w:rFonts w:ascii="Times New Roman" w:hAnsi="Times New Roman" w:cs="Times New Roman"/>
          <w:sz w:val="24"/>
          <w:szCs w:val="24"/>
        </w:rPr>
        <w:t xml:space="preserve"> at a </w:t>
      </w:r>
      <w:r>
        <w:rPr>
          <w:rFonts w:ascii="Times New Roman" w:hAnsi="Times New Roman" w:cs="Times New Roman"/>
          <w:sz w:val="24"/>
          <w:szCs w:val="24"/>
        </w:rPr>
        <w:t>satisfactory l</w:t>
      </w:r>
      <w:r w:rsidR="007770E3">
        <w:rPr>
          <w:rFonts w:ascii="Times New Roman" w:hAnsi="Times New Roman" w:cs="Times New Roman"/>
          <w:sz w:val="24"/>
          <w:szCs w:val="24"/>
        </w:rPr>
        <w:t>evel from 2012 to 2016</w:t>
      </w:r>
      <w:r>
        <w:rPr>
          <w:rFonts w:ascii="Times New Roman" w:hAnsi="Times New Roman" w:cs="Times New Roman"/>
          <w:sz w:val="24"/>
          <w:szCs w:val="24"/>
        </w:rPr>
        <w:t xml:space="preserve"> </w:t>
      </w:r>
      <w:r w:rsidR="001E0F81">
        <w:rPr>
          <w:rFonts w:ascii="Times New Roman" w:hAnsi="Times New Roman" w:cs="Times New Roman"/>
          <w:sz w:val="24"/>
          <w:szCs w:val="24"/>
        </w:rPr>
        <w:t xml:space="preserve">and was </w:t>
      </w:r>
      <w:r>
        <w:rPr>
          <w:rFonts w:ascii="Times New Roman" w:hAnsi="Times New Roman" w:cs="Times New Roman"/>
          <w:sz w:val="24"/>
          <w:szCs w:val="24"/>
        </w:rPr>
        <w:t>significant</w:t>
      </w:r>
      <w:r w:rsidR="001E0F81">
        <w:rPr>
          <w:rFonts w:ascii="Times New Roman" w:hAnsi="Times New Roman" w:cs="Times New Roman"/>
          <w:sz w:val="24"/>
          <w:szCs w:val="24"/>
        </w:rPr>
        <w:t>ly higher</w:t>
      </w:r>
      <w:r>
        <w:rPr>
          <w:rFonts w:ascii="Times New Roman" w:hAnsi="Times New Roman" w:cs="Times New Roman"/>
          <w:sz w:val="24"/>
          <w:szCs w:val="24"/>
        </w:rPr>
        <w:t xml:space="preserve"> in 2016</w:t>
      </w:r>
      <w:r w:rsidR="00445E21">
        <w:rPr>
          <w:rFonts w:ascii="Times New Roman" w:hAnsi="Times New Roman" w:cs="Times New Roman"/>
          <w:sz w:val="24"/>
          <w:szCs w:val="24"/>
        </w:rPr>
        <w:t xml:space="preserve">.  </w:t>
      </w:r>
      <w:r w:rsidR="00D47CB7">
        <w:rPr>
          <w:rFonts w:ascii="Times New Roman" w:hAnsi="Times New Roman" w:cs="Times New Roman"/>
          <w:sz w:val="24"/>
          <w:szCs w:val="24"/>
        </w:rPr>
        <w:t xml:space="preserve">DOMLEC’s </w:t>
      </w:r>
      <w:r w:rsidR="0035422F">
        <w:rPr>
          <w:rFonts w:ascii="Times New Roman" w:hAnsi="Times New Roman" w:cs="Times New Roman"/>
          <w:sz w:val="24"/>
          <w:szCs w:val="24"/>
        </w:rPr>
        <w:t>indicator well</w:t>
      </w:r>
      <w:r w:rsidR="00D47CB7">
        <w:rPr>
          <w:rFonts w:ascii="Times New Roman" w:hAnsi="Times New Roman" w:cs="Times New Roman"/>
          <w:sz w:val="24"/>
          <w:szCs w:val="24"/>
        </w:rPr>
        <w:t xml:space="preserve"> </w:t>
      </w:r>
      <w:r w:rsidR="00477658">
        <w:rPr>
          <w:rFonts w:ascii="Times New Roman" w:hAnsi="Times New Roman" w:cs="Times New Roman"/>
          <w:sz w:val="24"/>
          <w:szCs w:val="24"/>
        </w:rPr>
        <w:t>exceeded</w:t>
      </w:r>
      <w:r w:rsidR="00D47CB7">
        <w:rPr>
          <w:rFonts w:ascii="Times New Roman" w:hAnsi="Times New Roman" w:cs="Times New Roman"/>
          <w:sz w:val="24"/>
          <w:szCs w:val="24"/>
        </w:rPr>
        <w:t xml:space="preserve"> the target limit of 1</w:t>
      </w:r>
      <w:r w:rsidR="00D47CB7">
        <w:rPr>
          <w:rStyle w:val="FootnoteReference"/>
          <w:rFonts w:ascii="Times New Roman" w:hAnsi="Times New Roman" w:cs="Times New Roman"/>
          <w:sz w:val="24"/>
          <w:szCs w:val="24"/>
        </w:rPr>
        <w:footnoteReference w:id="7"/>
      </w:r>
      <w:r w:rsidR="00D47CB7">
        <w:rPr>
          <w:rFonts w:ascii="Times New Roman" w:hAnsi="Times New Roman" w:cs="Times New Roman"/>
          <w:sz w:val="24"/>
          <w:szCs w:val="24"/>
        </w:rPr>
        <w:t xml:space="preserve">. </w:t>
      </w:r>
      <w:r w:rsidR="00445E21">
        <w:rPr>
          <w:rFonts w:ascii="Times New Roman" w:hAnsi="Times New Roman" w:cs="Times New Roman"/>
          <w:sz w:val="24"/>
          <w:szCs w:val="24"/>
        </w:rPr>
        <w:t xml:space="preserve">As </w:t>
      </w:r>
      <w:r>
        <w:rPr>
          <w:rFonts w:ascii="Times New Roman" w:hAnsi="Times New Roman" w:cs="Times New Roman"/>
          <w:sz w:val="24"/>
          <w:szCs w:val="24"/>
        </w:rPr>
        <w:t>can be seen</w:t>
      </w:r>
      <w:r w:rsidR="00445E21">
        <w:rPr>
          <w:rFonts w:ascii="Times New Roman" w:hAnsi="Times New Roman" w:cs="Times New Roman"/>
          <w:sz w:val="24"/>
          <w:szCs w:val="24"/>
        </w:rPr>
        <w:t xml:space="preserve">, the statistic </w:t>
      </w:r>
      <w:r w:rsidR="007453B7">
        <w:rPr>
          <w:rFonts w:ascii="Times New Roman" w:hAnsi="Times New Roman" w:cs="Times New Roman"/>
          <w:sz w:val="24"/>
          <w:szCs w:val="24"/>
        </w:rPr>
        <w:t xml:space="preserve">grew </w:t>
      </w:r>
      <w:r>
        <w:rPr>
          <w:rFonts w:ascii="Times New Roman" w:hAnsi="Times New Roman" w:cs="Times New Roman"/>
          <w:sz w:val="24"/>
          <w:szCs w:val="24"/>
        </w:rPr>
        <w:t>by 129% from 2012 to 2016.</w:t>
      </w:r>
      <w:r w:rsidR="003351C4">
        <w:rPr>
          <w:rFonts w:ascii="Times New Roman" w:hAnsi="Times New Roman" w:cs="Times New Roman"/>
          <w:sz w:val="24"/>
          <w:szCs w:val="24"/>
        </w:rPr>
        <w:t xml:space="preserve"> This</w:t>
      </w:r>
      <w:r w:rsidR="001103ED">
        <w:rPr>
          <w:rFonts w:ascii="Times New Roman" w:hAnsi="Times New Roman" w:cs="Times New Roman"/>
          <w:sz w:val="24"/>
          <w:szCs w:val="24"/>
        </w:rPr>
        <w:t xml:space="preserve"> </w:t>
      </w:r>
      <w:r w:rsidR="003351C4">
        <w:rPr>
          <w:rFonts w:ascii="Times New Roman" w:hAnsi="Times New Roman" w:cs="Times New Roman"/>
          <w:sz w:val="24"/>
          <w:szCs w:val="24"/>
        </w:rPr>
        <w:t>illustrates</w:t>
      </w:r>
      <w:r w:rsidR="005F4361">
        <w:rPr>
          <w:rFonts w:ascii="Times New Roman" w:hAnsi="Times New Roman" w:cs="Times New Roman"/>
          <w:sz w:val="24"/>
          <w:szCs w:val="24"/>
        </w:rPr>
        <w:t xml:space="preserve"> that</w:t>
      </w:r>
      <w:r w:rsidR="001103ED">
        <w:rPr>
          <w:rFonts w:ascii="Times New Roman" w:hAnsi="Times New Roman" w:cs="Times New Roman"/>
          <w:sz w:val="24"/>
          <w:szCs w:val="24"/>
        </w:rPr>
        <w:t xml:space="preserve"> DOMLEC’s liquidity</w:t>
      </w:r>
      <w:r w:rsidR="005F4361">
        <w:rPr>
          <w:rFonts w:ascii="Times New Roman" w:hAnsi="Times New Roman" w:cs="Times New Roman"/>
          <w:sz w:val="24"/>
          <w:szCs w:val="24"/>
        </w:rPr>
        <w:t xml:space="preserve"> position is rather solid as the company is able to settle interest payment comfortably. </w:t>
      </w:r>
      <w:r w:rsidR="00FA6AE0">
        <w:rPr>
          <w:rFonts w:ascii="Times New Roman" w:hAnsi="Times New Roman" w:cs="Times New Roman"/>
          <w:sz w:val="24"/>
          <w:szCs w:val="24"/>
        </w:rPr>
        <w:t xml:space="preserve">From </w:t>
      </w:r>
      <w:r w:rsidR="005F4361">
        <w:rPr>
          <w:rFonts w:ascii="Times New Roman" w:hAnsi="Times New Roman" w:cs="Times New Roman"/>
          <w:sz w:val="24"/>
          <w:szCs w:val="24"/>
        </w:rPr>
        <w:t xml:space="preserve">2012 to 2015, </w:t>
      </w:r>
      <w:r w:rsidR="00FA6AE0">
        <w:rPr>
          <w:rFonts w:ascii="Times New Roman" w:hAnsi="Times New Roman" w:cs="Times New Roman"/>
          <w:sz w:val="24"/>
          <w:szCs w:val="24"/>
        </w:rPr>
        <w:t>DOMLEC’s liquid</w:t>
      </w:r>
      <w:r w:rsidR="005F4361">
        <w:rPr>
          <w:rFonts w:ascii="Times New Roman" w:hAnsi="Times New Roman" w:cs="Times New Roman"/>
          <w:sz w:val="24"/>
          <w:szCs w:val="24"/>
        </w:rPr>
        <w:t xml:space="preserve"> </w:t>
      </w:r>
      <w:r w:rsidR="00FA6AE0">
        <w:rPr>
          <w:rFonts w:ascii="Times New Roman" w:hAnsi="Times New Roman" w:cs="Times New Roman"/>
          <w:sz w:val="24"/>
          <w:szCs w:val="24"/>
        </w:rPr>
        <w:t xml:space="preserve">position was also better than that </w:t>
      </w:r>
      <w:r w:rsidR="00465CAC">
        <w:rPr>
          <w:rFonts w:ascii="Times New Roman" w:hAnsi="Times New Roman" w:cs="Times New Roman"/>
          <w:sz w:val="24"/>
          <w:szCs w:val="24"/>
        </w:rPr>
        <w:t>of GRENLEC</w:t>
      </w:r>
      <w:r w:rsidR="00ED6011">
        <w:rPr>
          <w:rFonts w:ascii="Times New Roman" w:hAnsi="Times New Roman" w:cs="Times New Roman"/>
          <w:sz w:val="24"/>
          <w:szCs w:val="24"/>
        </w:rPr>
        <w:t xml:space="preserve"> and LUCELEC.</w:t>
      </w:r>
      <w:r w:rsidR="00D47CB7">
        <w:rPr>
          <w:rFonts w:ascii="Times New Roman" w:hAnsi="Times New Roman" w:cs="Times New Roman"/>
          <w:sz w:val="24"/>
          <w:szCs w:val="24"/>
        </w:rPr>
        <w:t xml:space="preserve">  Notably, LUCELEC and GRENLEC’s cash flow interest cover was also above the target limit of 1.</w:t>
      </w:r>
    </w:p>
    <w:p w:rsidR="00EA4E19" w:rsidRDefault="00EA4E19" w:rsidP="004138AE">
      <w:pPr>
        <w:pStyle w:val="NoSpacing"/>
        <w:jc w:val="both"/>
        <w:rPr>
          <w:rFonts w:ascii="Times New Roman" w:hAnsi="Times New Roman" w:cs="Times New Roman"/>
          <w:sz w:val="24"/>
          <w:szCs w:val="24"/>
        </w:rPr>
      </w:pPr>
    </w:p>
    <w:p w:rsidR="002025A6" w:rsidRPr="003E717F" w:rsidRDefault="004E7D0D" w:rsidP="00875AF0">
      <w:pPr>
        <w:pStyle w:val="NoSpacing"/>
        <w:numPr>
          <w:ilvl w:val="0"/>
          <w:numId w:val="11"/>
        </w:numPr>
        <w:jc w:val="both"/>
        <w:outlineLvl w:val="2"/>
        <w:rPr>
          <w:rFonts w:ascii="Times New Roman" w:hAnsi="Times New Roman" w:cs="Times New Roman"/>
          <w:b/>
          <w:sz w:val="24"/>
          <w:szCs w:val="24"/>
        </w:rPr>
      </w:pPr>
      <w:bookmarkStart w:id="14" w:name="_Toc485128743"/>
      <w:r w:rsidRPr="003E717F">
        <w:rPr>
          <w:rFonts w:ascii="Times New Roman" w:hAnsi="Times New Roman" w:cs="Times New Roman"/>
          <w:b/>
          <w:sz w:val="24"/>
          <w:szCs w:val="24"/>
        </w:rPr>
        <w:t>Current Ratio</w:t>
      </w:r>
      <w:bookmarkEnd w:id="14"/>
    </w:p>
    <w:p w:rsidR="00E77193" w:rsidRDefault="00E77193" w:rsidP="004138AE">
      <w:pPr>
        <w:pStyle w:val="NoSpacing"/>
        <w:jc w:val="both"/>
        <w:outlineLvl w:val="2"/>
        <w:rPr>
          <w:rFonts w:ascii="Times New Roman" w:hAnsi="Times New Roman" w:cs="Times New Roman"/>
          <w:b/>
          <w:sz w:val="24"/>
          <w:szCs w:val="24"/>
        </w:rPr>
      </w:pPr>
    </w:p>
    <w:p w:rsidR="00E77193" w:rsidRDefault="003F2D8A"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E77193" w:rsidRPr="00143032">
        <w:rPr>
          <w:rFonts w:ascii="Times New Roman" w:hAnsi="Times New Roman" w:cs="Times New Roman"/>
          <w:sz w:val="24"/>
          <w:szCs w:val="24"/>
        </w:rPr>
        <w:t>C</w:t>
      </w:r>
      <w:r w:rsidR="00E77193">
        <w:rPr>
          <w:rFonts w:ascii="Times New Roman" w:hAnsi="Times New Roman" w:cs="Times New Roman"/>
          <w:sz w:val="24"/>
          <w:szCs w:val="24"/>
        </w:rPr>
        <w:t xml:space="preserve">urrent Ratio is an indicator that measures the utility’s ability to repay short term </w:t>
      </w:r>
      <w:r w:rsidR="00DC1F77">
        <w:rPr>
          <w:rFonts w:ascii="Times New Roman" w:hAnsi="Times New Roman" w:cs="Times New Roman"/>
          <w:sz w:val="24"/>
          <w:szCs w:val="24"/>
        </w:rPr>
        <w:t>obligations</w:t>
      </w:r>
      <w:r w:rsidR="00E77193">
        <w:rPr>
          <w:rFonts w:ascii="Times New Roman" w:hAnsi="Times New Roman" w:cs="Times New Roman"/>
          <w:sz w:val="24"/>
          <w:szCs w:val="24"/>
        </w:rPr>
        <w:t>.  The indicator is calculated as:</w:t>
      </w:r>
    </w:p>
    <w:p w:rsidR="00E77193" w:rsidRDefault="00E77193" w:rsidP="004138AE">
      <w:pPr>
        <w:pStyle w:val="NoSpacing"/>
        <w:jc w:val="both"/>
        <w:rPr>
          <w:rFonts w:ascii="Times New Roman" w:hAnsi="Times New Roman" w:cs="Times New Roman"/>
          <w:sz w:val="24"/>
          <w:szCs w:val="24"/>
        </w:rPr>
      </w:pPr>
    </w:p>
    <w:p w:rsidR="00E77193" w:rsidRDefault="00E77193"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Current Ratio = </w:t>
      </w:r>
      <w:r w:rsidR="004005CE">
        <w:rPr>
          <w:rFonts w:ascii="Times New Roman" w:hAnsi="Times New Roman" w:cs="Times New Roman"/>
          <w:sz w:val="24"/>
          <w:szCs w:val="24"/>
        </w:rPr>
        <w:t>Current Assets/Current Liabilities</w:t>
      </w:r>
    </w:p>
    <w:p w:rsidR="000244BE" w:rsidRDefault="000244BE" w:rsidP="004138AE">
      <w:pPr>
        <w:pStyle w:val="NoSpacing"/>
        <w:jc w:val="both"/>
        <w:rPr>
          <w:rFonts w:ascii="Times New Roman" w:hAnsi="Times New Roman" w:cs="Times New Roman"/>
          <w:sz w:val="24"/>
          <w:szCs w:val="24"/>
        </w:rPr>
      </w:pPr>
    </w:p>
    <w:p w:rsidR="0010350D" w:rsidRDefault="0010350D" w:rsidP="004138AE">
      <w:pPr>
        <w:pStyle w:val="NoSpacing"/>
        <w:jc w:val="both"/>
        <w:rPr>
          <w:rFonts w:ascii="Times New Roman" w:hAnsi="Times New Roman" w:cs="Times New Roman"/>
          <w:sz w:val="24"/>
          <w:szCs w:val="24"/>
        </w:rPr>
      </w:pPr>
    </w:p>
    <w:p w:rsidR="004138AE" w:rsidRDefault="004138AE" w:rsidP="004138AE">
      <w:pPr>
        <w:pStyle w:val="NoSpacing"/>
        <w:jc w:val="both"/>
        <w:rPr>
          <w:rFonts w:ascii="Times New Roman" w:hAnsi="Times New Roman" w:cs="Times New Roman"/>
          <w:b/>
          <w:sz w:val="24"/>
          <w:szCs w:val="24"/>
        </w:rPr>
      </w:pPr>
    </w:p>
    <w:p w:rsidR="000244BE" w:rsidRPr="006A63D7" w:rsidRDefault="004138AE"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A63D7" w:rsidRPr="006A63D7">
        <w:rPr>
          <w:rFonts w:ascii="Times New Roman" w:hAnsi="Times New Roman" w:cs="Times New Roman"/>
          <w:b/>
          <w:sz w:val="24"/>
          <w:szCs w:val="24"/>
        </w:rPr>
        <w:t>Table 6: Current Ratio 2012 to 2016</w:t>
      </w:r>
    </w:p>
    <w:tbl>
      <w:tblPr>
        <w:tblW w:w="5130" w:type="dxa"/>
        <w:tblInd w:w="738" w:type="dxa"/>
        <w:tblLook w:val="04A0"/>
      </w:tblPr>
      <w:tblGrid>
        <w:gridCol w:w="1440"/>
        <w:gridCol w:w="236"/>
        <w:gridCol w:w="978"/>
        <w:gridCol w:w="162"/>
        <w:gridCol w:w="1054"/>
        <w:gridCol w:w="226"/>
        <w:gridCol w:w="1034"/>
      </w:tblGrid>
      <w:tr w:rsidR="00DC1F77" w:rsidRPr="000244BE" w:rsidTr="00DC1F77">
        <w:trPr>
          <w:gridAfter w:val="1"/>
          <w:wAfter w:w="1034" w:type="dxa"/>
          <w:trHeight w:val="300"/>
        </w:trPr>
        <w:tc>
          <w:tcPr>
            <w:tcW w:w="1440" w:type="dxa"/>
            <w:tcBorders>
              <w:top w:val="nil"/>
              <w:left w:val="nil"/>
              <w:bottom w:val="nil"/>
              <w:right w:val="nil"/>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p>
        </w:tc>
        <w:tc>
          <w:tcPr>
            <w:tcW w:w="1140" w:type="dxa"/>
            <w:gridSpan w:val="2"/>
            <w:tcBorders>
              <w:top w:val="nil"/>
              <w:left w:val="nil"/>
              <w:bottom w:val="nil"/>
              <w:right w:val="nil"/>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p>
        </w:tc>
        <w:tc>
          <w:tcPr>
            <w:tcW w:w="1280" w:type="dxa"/>
            <w:gridSpan w:val="2"/>
            <w:tcBorders>
              <w:top w:val="nil"/>
              <w:left w:val="nil"/>
              <w:bottom w:val="nil"/>
              <w:right w:val="nil"/>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p>
        </w:tc>
      </w:tr>
      <w:tr w:rsidR="00DC1F77" w:rsidRPr="000244BE" w:rsidTr="00DC1F7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b/>
                <w:bCs/>
                <w:color w:val="000000"/>
              </w:rPr>
            </w:pPr>
            <w:r w:rsidRPr="000244BE">
              <w:rPr>
                <w:rFonts w:ascii="Calibri" w:eastAsia="Times New Roman" w:hAnsi="Calibri" w:cs="Times New Roman"/>
                <w:b/>
                <w:bCs/>
                <w:color w:val="000000"/>
              </w:rPr>
              <w:t> </w:t>
            </w:r>
          </w:p>
        </w:tc>
        <w:tc>
          <w:tcPr>
            <w:tcW w:w="3690" w:type="dxa"/>
            <w:gridSpan w:val="6"/>
            <w:tcBorders>
              <w:top w:val="single" w:sz="4" w:space="0" w:color="auto"/>
              <w:bottom w:val="single" w:sz="4" w:space="0" w:color="auto"/>
              <w:right w:val="single" w:sz="4" w:space="0" w:color="auto"/>
            </w:tcBorders>
            <w:shd w:val="clear" w:color="auto" w:fill="auto"/>
          </w:tcPr>
          <w:p w:rsidR="00DC1F77" w:rsidRPr="00DC1F77" w:rsidRDefault="00DC1F77" w:rsidP="004138AE">
            <w:pPr>
              <w:rPr>
                <w:b/>
              </w:rPr>
            </w:pPr>
            <w:r w:rsidRPr="00DC1F77">
              <w:rPr>
                <w:b/>
              </w:rPr>
              <w:t>Current Ratio</w:t>
            </w:r>
            <w:r w:rsidR="0069517C">
              <w:rPr>
                <w:b/>
              </w:rPr>
              <w:t xml:space="preserve">   (Times)</w:t>
            </w:r>
          </w:p>
        </w:tc>
      </w:tr>
      <w:tr w:rsidR="00DC1F77" w:rsidRPr="000244BE" w:rsidTr="00DC1F77">
        <w:trPr>
          <w:trHeight w:val="9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b/>
                <w:bCs/>
                <w:color w:val="000000"/>
              </w:rPr>
            </w:pPr>
            <w:r w:rsidRPr="000244BE">
              <w:rPr>
                <w:rFonts w:ascii="Calibri" w:eastAsia="Times New Roman" w:hAnsi="Calibri" w:cs="Times New Roman"/>
                <w:b/>
                <w:bCs/>
                <w:color w:val="000000"/>
              </w:rPr>
              <w:t>Years</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b/>
                <w:bCs/>
                <w:color w:val="000000"/>
              </w:rPr>
            </w:pPr>
            <w:r w:rsidRPr="000244BE">
              <w:rPr>
                <w:rFonts w:ascii="Calibri" w:eastAsia="Times New Roman" w:hAnsi="Calibri" w:cs="Times New Roman"/>
                <w:b/>
                <w:bCs/>
                <w:color w:val="000000"/>
              </w:rPr>
              <w:t>DOMLEC</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b/>
                <w:bCs/>
                <w:color w:val="000000"/>
              </w:rPr>
            </w:pPr>
            <w:r w:rsidRPr="000244BE">
              <w:rPr>
                <w:rFonts w:ascii="Calibri" w:eastAsia="Times New Roman" w:hAnsi="Calibri" w:cs="Times New Roman"/>
                <w:b/>
                <w:bCs/>
                <w:color w:val="000000"/>
              </w:rPr>
              <w:t>LUCELEC</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b/>
                <w:bCs/>
                <w:color w:val="000000"/>
              </w:rPr>
            </w:pPr>
            <w:r w:rsidRPr="000244BE">
              <w:rPr>
                <w:rFonts w:ascii="Calibri" w:eastAsia="Times New Roman" w:hAnsi="Calibri" w:cs="Times New Roman"/>
                <w:b/>
                <w:bCs/>
                <w:color w:val="000000"/>
              </w:rPr>
              <w:t xml:space="preserve"> GRENLEC</w:t>
            </w:r>
          </w:p>
        </w:tc>
      </w:tr>
      <w:tr w:rsidR="00DC1F77" w:rsidRPr="000244BE"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 </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 </w:t>
            </w:r>
          </w:p>
        </w:tc>
      </w:tr>
      <w:tr w:rsidR="00DC1F77" w:rsidRPr="000244BE"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2012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1.84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2.70</w:t>
            </w:r>
          </w:p>
        </w:tc>
      </w:tr>
      <w:tr w:rsidR="00DC1F77" w:rsidRPr="000244BE"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2013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1.92</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2.52</w:t>
            </w:r>
          </w:p>
        </w:tc>
      </w:tr>
      <w:tr w:rsidR="00DC1F77" w:rsidRPr="000244BE"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2014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2.13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1.91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2.33</w:t>
            </w:r>
          </w:p>
        </w:tc>
      </w:tr>
      <w:tr w:rsidR="00DC1F77" w:rsidRPr="000244BE"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2015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2.40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3.70</w:t>
            </w:r>
          </w:p>
        </w:tc>
      </w:tr>
      <w:tr w:rsidR="00DC1F77" w:rsidRPr="000244BE" w:rsidTr="00DC1F7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2016</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2.16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 </w:t>
            </w:r>
            <w:r>
              <w:rPr>
                <w:rFonts w:ascii="Calibri" w:eastAsia="Times New Roman" w:hAnsi="Calibri" w:cs="Times New Roman"/>
                <w:color w:val="000000"/>
              </w:rPr>
              <w:t>NA</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r w:rsidRPr="000244BE">
              <w:rPr>
                <w:rFonts w:ascii="Calibri" w:eastAsia="Times New Roman" w:hAnsi="Calibri" w:cs="Times New Roman"/>
                <w:color w:val="000000"/>
              </w:rPr>
              <w:t> </w:t>
            </w:r>
            <w:r>
              <w:rPr>
                <w:rFonts w:ascii="Calibri" w:eastAsia="Times New Roman" w:hAnsi="Calibri" w:cs="Times New Roman"/>
                <w:color w:val="000000"/>
              </w:rPr>
              <w:t>NA</w:t>
            </w:r>
          </w:p>
        </w:tc>
      </w:tr>
      <w:tr w:rsidR="00DC1F77" w:rsidRPr="000244BE" w:rsidTr="00DC1F77">
        <w:trPr>
          <w:trHeight w:val="300"/>
        </w:trPr>
        <w:tc>
          <w:tcPr>
            <w:tcW w:w="1440" w:type="dxa"/>
            <w:tcBorders>
              <w:top w:val="nil"/>
              <w:left w:val="nil"/>
              <w:bottom w:val="nil"/>
              <w:right w:val="nil"/>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p>
        </w:tc>
        <w:tc>
          <w:tcPr>
            <w:tcW w:w="1216" w:type="dxa"/>
            <w:gridSpan w:val="2"/>
            <w:tcBorders>
              <w:top w:val="nil"/>
              <w:left w:val="nil"/>
              <w:bottom w:val="nil"/>
              <w:right w:val="nil"/>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DC1F77" w:rsidRPr="000244BE" w:rsidRDefault="00DC1F77" w:rsidP="004138AE">
            <w:pPr>
              <w:rPr>
                <w:rFonts w:ascii="Calibri" w:eastAsia="Times New Roman" w:hAnsi="Calibri" w:cs="Times New Roman"/>
                <w:color w:val="000000"/>
              </w:rPr>
            </w:pPr>
          </w:p>
        </w:tc>
      </w:tr>
    </w:tbl>
    <w:p w:rsidR="000244BE" w:rsidRPr="00143032" w:rsidRDefault="000244BE" w:rsidP="004138AE">
      <w:pPr>
        <w:pStyle w:val="NoSpacing"/>
        <w:jc w:val="both"/>
        <w:rPr>
          <w:rFonts w:ascii="Times New Roman" w:hAnsi="Times New Roman" w:cs="Times New Roman"/>
          <w:sz w:val="24"/>
          <w:szCs w:val="24"/>
        </w:rPr>
      </w:pPr>
    </w:p>
    <w:p w:rsidR="00E77193" w:rsidRPr="00D74602" w:rsidRDefault="00E77193" w:rsidP="004138AE">
      <w:pPr>
        <w:pStyle w:val="NoSpacing"/>
        <w:jc w:val="both"/>
        <w:rPr>
          <w:rFonts w:ascii="Times New Roman" w:hAnsi="Times New Roman" w:cs="Times New Roman"/>
          <w:sz w:val="24"/>
          <w:szCs w:val="24"/>
        </w:rPr>
      </w:pPr>
    </w:p>
    <w:p w:rsidR="003F210D" w:rsidRDefault="00E77193" w:rsidP="004138AE">
      <w:pPr>
        <w:pStyle w:val="NoSpacing"/>
        <w:jc w:val="both"/>
        <w:rPr>
          <w:rFonts w:ascii="Times New Roman" w:hAnsi="Times New Roman" w:cs="Times New Roman"/>
          <w:sz w:val="24"/>
          <w:szCs w:val="24"/>
        </w:rPr>
      </w:pPr>
      <w:r>
        <w:rPr>
          <w:rFonts w:ascii="Times New Roman" w:hAnsi="Times New Roman" w:cs="Times New Roman"/>
          <w:sz w:val="24"/>
          <w:szCs w:val="24"/>
        </w:rPr>
        <w:t>DOMLEC’s current ratio</w:t>
      </w:r>
      <w:r w:rsidR="004005CE">
        <w:rPr>
          <w:rFonts w:ascii="Times New Roman" w:hAnsi="Times New Roman" w:cs="Times New Roman"/>
          <w:sz w:val="24"/>
          <w:szCs w:val="24"/>
        </w:rPr>
        <w:t xml:space="preserve"> increased at a fairly stable rate from 2012 to 2016.</w:t>
      </w:r>
      <w:r w:rsidR="004005CE" w:rsidRPr="004005CE">
        <w:rPr>
          <w:rFonts w:ascii="Times New Roman" w:hAnsi="Times New Roman" w:cs="Times New Roman"/>
          <w:sz w:val="24"/>
          <w:szCs w:val="24"/>
        </w:rPr>
        <w:t xml:space="preserve"> </w:t>
      </w:r>
      <w:r w:rsidR="004005CE">
        <w:rPr>
          <w:rFonts w:ascii="Times New Roman" w:hAnsi="Times New Roman" w:cs="Times New Roman"/>
          <w:sz w:val="24"/>
          <w:szCs w:val="24"/>
        </w:rPr>
        <w:t>The company’s current ratio was well above the acceptable limit of 1.1 times for the industry</w:t>
      </w:r>
      <w:r w:rsidR="009340A0">
        <w:rPr>
          <w:rStyle w:val="FootnoteReference"/>
          <w:rFonts w:ascii="Times New Roman" w:hAnsi="Times New Roman" w:cs="Times New Roman"/>
          <w:sz w:val="24"/>
          <w:szCs w:val="24"/>
        </w:rPr>
        <w:footnoteReference w:id="8"/>
      </w:r>
      <w:r w:rsidR="00D47CB7">
        <w:rPr>
          <w:rFonts w:ascii="Times New Roman" w:hAnsi="Times New Roman" w:cs="Times New Roman"/>
          <w:sz w:val="24"/>
          <w:szCs w:val="24"/>
        </w:rPr>
        <w:t>.</w:t>
      </w:r>
      <w:r w:rsidR="005653A0">
        <w:rPr>
          <w:rFonts w:ascii="Times New Roman" w:hAnsi="Times New Roman" w:cs="Times New Roman"/>
          <w:sz w:val="24"/>
          <w:szCs w:val="24"/>
        </w:rPr>
        <w:t xml:space="preserve">  </w:t>
      </w:r>
      <w:r w:rsidR="00465CAC">
        <w:rPr>
          <w:rFonts w:ascii="Times New Roman" w:hAnsi="Times New Roman" w:cs="Times New Roman"/>
          <w:sz w:val="24"/>
          <w:szCs w:val="24"/>
        </w:rPr>
        <w:t xml:space="preserve">The </w:t>
      </w:r>
      <w:r w:rsidR="004005CE">
        <w:rPr>
          <w:rFonts w:ascii="Times New Roman" w:hAnsi="Times New Roman" w:cs="Times New Roman"/>
          <w:sz w:val="24"/>
          <w:szCs w:val="24"/>
        </w:rPr>
        <w:t xml:space="preserve">compounded </w:t>
      </w:r>
      <w:r w:rsidR="003E717F">
        <w:rPr>
          <w:rFonts w:ascii="Times New Roman" w:hAnsi="Times New Roman" w:cs="Times New Roman"/>
          <w:sz w:val="24"/>
          <w:szCs w:val="24"/>
        </w:rPr>
        <w:t>growth</w:t>
      </w:r>
      <w:r w:rsidR="004005CE">
        <w:rPr>
          <w:rFonts w:ascii="Times New Roman" w:hAnsi="Times New Roman" w:cs="Times New Roman"/>
          <w:sz w:val="24"/>
          <w:szCs w:val="24"/>
        </w:rPr>
        <w:t xml:space="preserve"> </w:t>
      </w:r>
      <w:r w:rsidR="003F3BDF">
        <w:rPr>
          <w:rFonts w:ascii="Times New Roman" w:hAnsi="Times New Roman" w:cs="Times New Roman"/>
          <w:sz w:val="24"/>
          <w:szCs w:val="24"/>
        </w:rPr>
        <w:t>over th</w:t>
      </w:r>
      <w:r w:rsidR="007812A1">
        <w:rPr>
          <w:rFonts w:ascii="Times New Roman" w:hAnsi="Times New Roman" w:cs="Times New Roman"/>
          <w:sz w:val="24"/>
          <w:szCs w:val="24"/>
        </w:rPr>
        <w:t>e</w:t>
      </w:r>
      <w:r w:rsidR="009738DA">
        <w:rPr>
          <w:rFonts w:ascii="Times New Roman" w:hAnsi="Times New Roman" w:cs="Times New Roman"/>
          <w:sz w:val="24"/>
          <w:szCs w:val="24"/>
        </w:rPr>
        <w:t xml:space="preserve"> past</w:t>
      </w:r>
      <w:r w:rsidR="007812A1">
        <w:rPr>
          <w:rFonts w:ascii="Times New Roman" w:hAnsi="Times New Roman" w:cs="Times New Roman"/>
          <w:sz w:val="24"/>
          <w:szCs w:val="24"/>
        </w:rPr>
        <w:t xml:space="preserve"> 5 years</w:t>
      </w:r>
      <w:r w:rsidR="003E717F">
        <w:rPr>
          <w:rFonts w:ascii="Times New Roman" w:hAnsi="Times New Roman" w:cs="Times New Roman"/>
          <w:sz w:val="24"/>
          <w:szCs w:val="24"/>
        </w:rPr>
        <w:t xml:space="preserve"> was 17.96%</w:t>
      </w:r>
      <w:r>
        <w:rPr>
          <w:rFonts w:ascii="Times New Roman" w:hAnsi="Times New Roman" w:cs="Times New Roman"/>
          <w:sz w:val="24"/>
          <w:szCs w:val="24"/>
        </w:rPr>
        <w:t xml:space="preserve">. </w:t>
      </w:r>
      <w:r w:rsidR="00E82237">
        <w:rPr>
          <w:rFonts w:ascii="Times New Roman" w:hAnsi="Times New Roman" w:cs="Times New Roman"/>
          <w:sz w:val="24"/>
          <w:szCs w:val="24"/>
        </w:rPr>
        <w:t xml:space="preserve"> DOMLEC’s </w:t>
      </w:r>
      <w:r w:rsidR="003F2D8A">
        <w:rPr>
          <w:rFonts w:ascii="Times New Roman" w:hAnsi="Times New Roman" w:cs="Times New Roman"/>
          <w:sz w:val="24"/>
          <w:szCs w:val="24"/>
        </w:rPr>
        <w:t>be</w:t>
      </w:r>
      <w:r w:rsidR="00E82237">
        <w:rPr>
          <w:rFonts w:ascii="Times New Roman" w:hAnsi="Times New Roman" w:cs="Times New Roman"/>
          <w:sz w:val="24"/>
          <w:szCs w:val="24"/>
        </w:rPr>
        <w:t>st performing year was 2015 when the current rati</w:t>
      </w:r>
      <w:r w:rsidR="00602244">
        <w:rPr>
          <w:rFonts w:ascii="Times New Roman" w:hAnsi="Times New Roman" w:cs="Times New Roman"/>
          <w:sz w:val="24"/>
          <w:szCs w:val="24"/>
        </w:rPr>
        <w:t>o was 2.40 times. This suggests</w:t>
      </w:r>
      <w:r w:rsidR="00E82237">
        <w:rPr>
          <w:rFonts w:ascii="Times New Roman" w:hAnsi="Times New Roman" w:cs="Times New Roman"/>
          <w:sz w:val="24"/>
          <w:szCs w:val="24"/>
        </w:rPr>
        <w:t xml:space="preserve"> that the company was</w:t>
      </w:r>
      <w:r w:rsidR="003F2D8A">
        <w:rPr>
          <w:rFonts w:ascii="Times New Roman" w:hAnsi="Times New Roman" w:cs="Times New Roman"/>
          <w:sz w:val="24"/>
          <w:szCs w:val="24"/>
        </w:rPr>
        <w:t xml:space="preserve"> </w:t>
      </w:r>
      <w:r>
        <w:rPr>
          <w:rFonts w:ascii="Times New Roman" w:hAnsi="Times New Roman" w:cs="Times New Roman"/>
          <w:sz w:val="24"/>
          <w:szCs w:val="24"/>
        </w:rPr>
        <w:t>able to settle its</w:t>
      </w:r>
      <w:r w:rsidR="00C574F7">
        <w:rPr>
          <w:rFonts w:ascii="Times New Roman" w:hAnsi="Times New Roman" w:cs="Times New Roman"/>
          <w:sz w:val="24"/>
          <w:szCs w:val="24"/>
        </w:rPr>
        <w:t xml:space="preserve"> short ter</w:t>
      </w:r>
      <w:r w:rsidR="007812A1">
        <w:rPr>
          <w:rFonts w:ascii="Times New Roman" w:hAnsi="Times New Roman" w:cs="Times New Roman"/>
          <w:sz w:val="24"/>
          <w:szCs w:val="24"/>
        </w:rPr>
        <w:t>m</w:t>
      </w:r>
      <w:r w:rsidR="003351C4">
        <w:rPr>
          <w:rFonts w:ascii="Times New Roman" w:hAnsi="Times New Roman" w:cs="Times New Roman"/>
          <w:sz w:val="24"/>
          <w:szCs w:val="24"/>
        </w:rPr>
        <w:t xml:space="preserve"> obligations</w:t>
      </w:r>
      <w:r>
        <w:rPr>
          <w:rFonts w:ascii="Times New Roman" w:hAnsi="Times New Roman" w:cs="Times New Roman"/>
          <w:sz w:val="24"/>
          <w:szCs w:val="24"/>
        </w:rPr>
        <w:t>.</w:t>
      </w:r>
      <w:r w:rsidR="003F2D8A">
        <w:rPr>
          <w:rFonts w:ascii="Times New Roman" w:hAnsi="Times New Roman" w:cs="Times New Roman"/>
          <w:sz w:val="24"/>
          <w:szCs w:val="24"/>
        </w:rPr>
        <w:t xml:space="preserve"> </w:t>
      </w:r>
      <w:r w:rsidR="004005CE">
        <w:rPr>
          <w:rFonts w:ascii="Times New Roman" w:hAnsi="Times New Roman" w:cs="Times New Roman"/>
          <w:sz w:val="24"/>
          <w:szCs w:val="24"/>
        </w:rPr>
        <w:t xml:space="preserve"> </w:t>
      </w:r>
      <w:r w:rsidR="003E717F">
        <w:rPr>
          <w:rFonts w:ascii="Times New Roman" w:hAnsi="Times New Roman" w:cs="Times New Roman"/>
          <w:sz w:val="24"/>
          <w:szCs w:val="24"/>
        </w:rPr>
        <w:t xml:space="preserve">Notwithstanding, </w:t>
      </w:r>
      <w:r w:rsidR="004005CE">
        <w:rPr>
          <w:rFonts w:ascii="Times New Roman" w:hAnsi="Times New Roman" w:cs="Times New Roman"/>
          <w:sz w:val="24"/>
          <w:szCs w:val="24"/>
        </w:rPr>
        <w:t>DOMLEC</w:t>
      </w:r>
      <w:r w:rsidR="00C544EE">
        <w:rPr>
          <w:rFonts w:ascii="Times New Roman" w:hAnsi="Times New Roman" w:cs="Times New Roman"/>
          <w:sz w:val="24"/>
          <w:szCs w:val="24"/>
        </w:rPr>
        <w:t>’s</w:t>
      </w:r>
      <w:r w:rsidR="004005CE">
        <w:rPr>
          <w:rFonts w:ascii="Times New Roman" w:hAnsi="Times New Roman" w:cs="Times New Roman"/>
          <w:sz w:val="24"/>
          <w:szCs w:val="24"/>
        </w:rPr>
        <w:t xml:space="preserve"> current ratio was lower</w:t>
      </w:r>
      <w:r w:rsidR="003F2D8A">
        <w:rPr>
          <w:rFonts w:ascii="Times New Roman" w:hAnsi="Times New Roman" w:cs="Times New Roman"/>
          <w:sz w:val="24"/>
          <w:szCs w:val="24"/>
        </w:rPr>
        <w:t xml:space="preserve"> in comparison to LUCLEC and</w:t>
      </w:r>
      <w:r w:rsidR="00602244">
        <w:rPr>
          <w:rFonts w:ascii="Times New Roman" w:hAnsi="Times New Roman" w:cs="Times New Roman"/>
          <w:sz w:val="24"/>
          <w:szCs w:val="24"/>
        </w:rPr>
        <w:t xml:space="preserve"> GRENLEC</w:t>
      </w:r>
      <w:r w:rsidR="005D4CF4">
        <w:rPr>
          <w:rFonts w:ascii="Times New Roman" w:hAnsi="Times New Roman" w:cs="Times New Roman"/>
          <w:sz w:val="24"/>
          <w:szCs w:val="24"/>
        </w:rPr>
        <w:t>.</w:t>
      </w:r>
    </w:p>
    <w:p w:rsidR="00C6207E" w:rsidRDefault="00C6207E" w:rsidP="004138AE">
      <w:pPr>
        <w:pStyle w:val="NoSpacing"/>
        <w:tabs>
          <w:tab w:val="left" w:pos="1536"/>
        </w:tabs>
        <w:jc w:val="both"/>
        <w:rPr>
          <w:rFonts w:ascii="Times New Roman" w:hAnsi="Times New Roman" w:cs="Times New Roman"/>
          <w:sz w:val="24"/>
          <w:szCs w:val="24"/>
        </w:rPr>
      </w:pPr>
    </w:p>
    <w:p w:rsidR="006D0C4D" w:rsidRDefault="00553DA5" w:rsidP="004138AE">
      <w:pPr>
        <w:pStyle w:val="NoSpacing"/>
        <w:tabs>
          <w:tab w:val="left" w:pos="1536"/>
        </w:tabs>
        <w:jc w:val="both"/>
        <w:rPr>
          <w:rFonts w:ascii="Times New Roman" w:hAnsi="Times New Roman" w:cs="Times New Roman"/>
          <w:b/>
          <w:sz w:val="24"/>
          <w:szCs w:val="24"/>
        </w:rPr>
      </w:pPr>
      <w:r>
        <w:rPr>
          <w:rFonts w:ascii="Times New Roman" w:hAnsi="Times New Roman" w:cs="Times New Roman"/>
          <w:b/>
          <w:sz w:val="24"/>
          <w:szCs w:val="24"/>
        </w:rPr>
        <w:tab/>
      </w:r>
    </w:p>
    <w:p w:rsidR="004E7D0D" w:rsidRPr="00553DA5" w:rsidRDefault="004E7D0D" w:rsidP="00875AF0">
      <w:pPr>
        <w:pStyle w:val="NoSpacing"/>
        <w:numPr>
          <w:ilvl w:val="0"/>
          <w:numId w:val="11"/>
        </w:numPr>
        <w:tabs>
          <w:tab w:val="left" w:pos="270"/>
        </w:tabs>
        <w:ind w:hanging="720"/>
        <w:jc w:val="both"/>
        <w:outlineLvl w:val="2"/>
        <w:rPr>
          <w:rFonts w:ascii="Times New Roman" w:hAnsi="Times New Roman" w:cs="Times New Roman"/>
          <w:b/>
          <w:sz w:val="24"/>
          <w:szCs w:val="24"/>
        </w:rPr>
      </w:pPr>
      <w:bookmarkStart w:id="15" w:name="_Toc485128744"/>
      <w:r w:rsidRPr="00553DA5">
        <w:rPr>
          <w:rFonts w:ascii="Times New Roman" w:hAnsi="Times New Roman" w:cs="Times New Roman"/>
          <w:b/>
          <w:sz w:val="24"/>
          <w:szCs w:val="24"/>
        </w:rPr>
        <w:t xml:space="preserve">Operating </w:t>
      </w:r>
      <w:r w:rsidR="001522F2">
        <w:rPr>
          <w:rFonts w:ascii="Times New Roman" w:hAnsi="Times New Roman" w:cs="Times New Roman"/>
          <w:b/>
          <w:sz w:val="24"/>
          <w:szCs w:val="24"/>
        </w:rPr>
        <w:t>Cost Cover</w:t>
      </w:r>
      <w:r w:rsidR="003351C4">
        <w:rPr>
          <w:rFonts w:ascii="Times New Roman" w:hAnsi="Times New Roman" w:cs="Times New Roman"/>
          <w:b/>
          <w:sz w:val="24"/>
          <w:szCs w:val="24"/>
        </w:rPr>
        <w:t>ed</w:t>
      </w:r>
      <w:r w:rsidR="001522F2">
        <w:rPr>
          <w:rFonts w:ascii="Times New Roman" w:hAnsi="Times New Roman" w:cs="Times New Roman"/>
          <w:b/>
          <w:sz w:val="24"/>
          <w:szCs w:val="24"/>
        </w:rPr>
        <w:t xml:space="preserve"> by Revenue</w:t>
      </w:r>
      <w:bookmarkEnd w:id="15"/>
    </w:p>
    <w:p w:rsidR="004E7D0D" w:rsidRPr="00D74602" w:rsidRDefault="004E7D0D" w:rsidP="004138AE">
      <w:pPr>
        <w:pStyle w:val="NoSpacing"/>
        <w:jc w:val="both"/>
        <w:rPr>
          <w:rFonts w:ascii="Times New Roman" w:hAnsi="Times New Roman" w:cs="Times New Roman"/>
          <w:sz w:val="24"/>
          <w:szCs w:val="24"/>
        </w:rPr>
      </w:pPr>
    </w:p>
    <w:p w:rsidR="006C3382" w:rsidRDefault="001522F2" w:rsidP="004138AE">
      <w:pPr>
        <w:pStyle w:val="NoSpacing"/>
        <w:jc w:val="both"/>
        <w:rPr>
          <w:rFonts w:ascii="Times New Roman" w:hAnsi="Times New Roman" w:cs="Times New Roman"/>
          <w:sz w:val="24"/>
          <w:szCs w:val="24"/>
        </w:rPr>
      </w:pPr>
      <w:r>
        <w:rPr>
          <w:rFonts w:ascii="Times New Roman" w:hAnsi="Times New Roman" w:cs="Times New Roman"/>
          <w:sz w:val="24"/>
          <w:szCs w:val="24"/>
        </w:rPr>
        <w:t>Operating Cost Cover</w:t>
      </w:r>
      <w:r w:rsidR="003351C4">
        <w:rPr>
          <w:rFonts w:ascii="Times New Roman" w:hAnsi="Times New Roman" w:cs="Times New Roman"/>
          <w:sz w:val="24"/>
          <w:szCs w:val="24"/>
        </w:rPr>
        <w:t>ed</w:t>
      </w:r>
      <w:r>
        <w:rPr>
          <w:rFonts w:ascii="Times New Roman" w:hAnsi="Times New Roman" w:cs="Times New Roman"/>
          <w:sz w:val="24"/>
          <w:szCs w:val="24"/>
        </w:rPr>
        <w:t xml:space="preserve"> by R</w:t>
      </w:r>
      <w:r w:rsidR="004E7D0D" w:rsidRPr="00D74602">
        <w:rPr>
          <w:rFonts w:ascii="Times New Roman" w:hAnsi="Times New Roman" w:cs="Times New Roman"/>
          <w:sz w:val="24"/>
          <w:szCs w:val="24"/>
        </w:rPr>
        <w:t>evenue</w:t>
      </w:r>
      <w:r w:rsidR="006C3382">
        <w:rPr>
          <w:rFonts w:ascii="Times New Roman" w:hAnsi="Times New Roman" w:cs="Times New Roman"/>
          <w:sz w:val="24"/>
          <w:szCs w:val="24"/>
        </w:rPr>
        <w:t xml:space="preserve"> measures the uti</w:t>
      </w:r>
      <w:r w:rsidR="00BF2E2D">
        <w:rPr>
          <w:rFonts w:ascii="Times New Roman" w:hAnsi="Times New Roman" w:cs="Times New Roman"/>
          <w:sz w:val="24"/>
          <w:szCs w:val="24"/>
        </w:rPr>
        <w:t>lity’s ability to cover</w:t>
      </w:r>
      <w:r w:rsidR="00D178B0">
        <w:rPr>
          <w:rFonts w:ascii="Times New Roman" w:hAnsi="Times New Roman" w:cs="Times New Roman"/>
          <w:sz w:val="24"/>
          <w:szCs w:val="24"/>
        </w:rPr>
        <w:t xml:space="preserve"> operating</w:t>
      </w:r>
      <w:r w:rsidR="006C3382">
        <w:rPr>
          <w:rFonts w:ascii="Times New Roman" w:hAnsi="Times New Roman" w:cs="Times New Roman"/>
          <w:sz w:val="24"/>
          <w:szCs w:val="24"/>
        </w:rPr>
        <w:t xml:space="preserve"> expenditure from </w:t>
      </w:r>
      <w:r w:rsidR="00AB28BB">
        <w:rPr>
          <w:rFonts w:ascii="Times New Roman" w:hAnsi="Times New Roman" w:cs="Times New Roman"/>
          <w:sz w:val="24"/>
          <w:szCs w:val="24"/>
        </w:rPr>
        <w:t>total revenue</w:t>
      </w:r>
      <w:r w:rsidR="004005CE">
        <w:rPr>
          <w:rFonts w:ascii="Times New Roman" w:hAnsi="Times New Roman" w:cs="Times New Roman"/>
          <w:sz w:val="24"/>
          <w:szCs w:val="24"/>
        </w:rPr>
        <w:t xml:space="preserve">.  </w:t>
      </w:r>
      <w:r w:rsidR="006C3382">
        <w:rPr>
          <w:rFonts w:ascii="Times New Roman" w:hAnsi="Times New Roman" w:cs="Times New Roman"/>
          <w:sz w:val="24"/>
          <w:szCs w:val="24"/>
        </w:rPr>
        <w:t>The ratio is calculated as:</w:t>
      </w:r>
    </w:p>
    <w:p w:rsidR="006C3382" w:rsidRDefault="006C3382" w:rsidP="004138AE">
      <w:pPr>
        <w:pStyle w:val="NoSpacing"/>
        <w:jc w:val="both"/>
        <w:rPr>
          <w:rFonts w:ascii="Times New Roman" w:hAnsi="Times New Roman" w:cs="Times New Roman"/>
          <w:sz w:val="24"/>
          <w:szCs w:val="24"/>
        </w:rPr>
      </w:pPr>
    </w:p>
    <w:p w:rsidR="0010350D" w:rsidRDefault="006C3382" w:rsidP="004138AE">
      <w:pPr>
        <w:pStyle w:val="NoSpacing"/>
        <w:jc w:val="both"/>
        <w:rPr>
          <w:rFonts w:ascii="Times New Roman" w:hAnsi="Times New Roman" w:cs="Times New Roman"/>
          <w:sz w:val="24"/>
          <w:szCs w:val="24"/>
        </w:rPr>
      </w:pPr>
      <w:r>
        <w:rPr>
          <w:rFonts w:ascii="Times New Roman" w:hAnsi="Times New Roman" w:cs="Times New Roman"/>
          <w:sz w:val="24"/>
          <w:szCs w:val="24"/>
        </w:rPr>
        <w:t>Operating cost cover</w:t>
      </w:r>
      <w:r w:rsidR="003351C4">
        <w:rPr>
          <w:rFonts w:ascii="Times New Roman" w:hAnsi="Times New Roman" w:cs="Times New Roman"/>
          <w:sz w:val="24"/>
          <w:szCs w:val="24"/>
        </w:rPr>
        <w:t>ed</w:t>
      </w:r>
      <w:r>
        <w:rPr>
          <w:rFonts w:ascii="Times New Roman" w:hAnsi="Times New Roman" w:cs="Times New Roman"/>
          <w:sz w:val="24"/>
          <w:szCs w:val="24"/>
        </w:rPr>
        <w:t xml:space="preserve"> by </w:t>
      </w:r>
      <w:r w:rsidR="00AB28BB">
        <w:rPr>
          <w:rFonts w:ascii="Times New Roman" w:hAnsi="Times New Roman" w:cs="Times New Roman"/>
          <w:sz w:val="24"/>
          <w:szCs w:val="24"/>
        </w:rPr>
        <w:t xml:space="preserve">Revenue </w:t>
      </w:r>
      <w:r w:rsidR="00DF0752">
        <w:rPr>
          <w:rFonts w:ascii="Times New Roman" w:hAnsi="Times New Roman" w:cs="Times New Roman"/>
          <w:sz w:val="24"/>
          <w:szCs w:val="24"/>
        </w:rPr>
        <w:t>= Operating</w:t>
      </w:r>
      <w:r>
        <w:rPr>
          <w:rFonts w:ascii="Times New Roman" w:hAnsi="Times New Roman" w:cs="Times New Roman"/>
          <w:sz w:val="24"/>
          <w:szCs w:val="24"/>
        </w:rPr>
        <w:t xml:space="preserve"> Cost/Revenue</w:t>
      </w:r>
    </w:p>
    <w:p w:rsidR="0010350D" w:rsidRDefault="0010350D" w:rsidP="004138AE">
      <w:pPr>
        <w:pStyle w:val="NoSpacing"/>
        <w:jc w:val="both"/>
        <w:rPr>
          <w:rFonts w:ascii="Times New Roman" w:hAnsi="Times New Roman" w:cs="Times New Roman"/>
          <w:sz w:val="24"/>
          <w:szCs w:val="24"/>
        </w:rPr>
      </w:pPr>
    </w:p>
    <w:p w:rsidR="0010350D" w:rsidRDefault="0010350D" w:rsidP="004138AE">
      <w:pPr>
        <w:pStyle w:val="NoSpacing"/>
        <w:jc w:val="both"/>
        <w:rPr>
          <w:rFonts w:ascii="Times New Roman" w:hAnsi="Times New Roman" w:cs="Times New Roman"/>
          <w:sz w:val="24"/>
          <w:szCs w:val="24"/>
        </w:rPr>
      </w:pPr>
    </w:p>
    <w:p w:rsidR="00526CD5" w:rsidRDefault="004138AE"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526CD5" w:rsidRDefault="00526CD5" w:rsidP="004138AE">
      <w:pPr>
        <w:pStyle w:val="NoSpacing"/>
        <w:jc w:val="both"/>
        <w:rPr>
          <w:rFonts w:ascii="Times New Roman" w:hAnsi="Times New Roman" w:cs="Times New Roman"/>
          <w:b/>
          <w:sz w:val="24"/>
          <w:szCs w:val="24"/>
        </w:rPr>
      </w:pPr>
    </w:p>
    <w:p w:rsidR="00526CD5" w:rsidRDefault="00526CD5" w:rsidP="004138AE">
      <w:pPr>
        <w:pStyle w:val="NoSpacing"/>
        <w:jc w:val="both"/>
        <w:rPr>
          <w:rFonts w:ascii="Times New Roman" w:hAnsi="Times New Roman" w:cs="Times New Roman"/>
          <w:b/>
          <w:sz w:val="24"/>
          <w:szCs w:val="24"/>
        </w:rPr>
      </w:pPr>
    </w:p>
    <w:p w:rsidR="000E290E" w:rsidRPr="00473FFC" w:rsidRDefault="004138AE"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351C4">
        <w:rPr>
          <w:rFonts w:ascii="Times New Roman" w:hAnsi="Times New Roman" w:cs="Times New Roman"/>
          <w:b/>
          <w:sz w:val="24"/>
          <w:szCs w:val="24"/>
        </w:rPr>
        <w:t>Table 7:  Operating Cost Covered by Revenue</w:t>
      </w:r>
      <w:r w:rsidR="000E290E" w:rsidRPr="00473FFC">
        <w:rPr>
          <w:rFonts w:ascii="Times New Roman" w:hAnsi="Times New Roman" w:cs="Times New Roman"/>
          <w:b/>
          <w:sz w:val="24"/>
          <w:szCs w:val="24"/>
        </w:rPr>
        <w:t xml:space="preserve"> 2012 to 2016</w:t>
      </w:r>
    </w:p>
    <w:p w:rsidR="003F2D8A" w:rsidRDefault="003F2D8A" w:rsidP="004138AE">
      <w:pPr>
        <w:pStyle w:val="NoSpacing"/>
        <w:jc w:val="both"/>
        <w:rPr>
          <w:rFonts w:ascii="Times New Roman" w:hAnsi="Times New Roman" w:cs="Times New Roman"/>
          <w:sz w:val="24"/>
          <w:szCs w:val="24"/>
        </w:rPr>
      </w:pPr>
    </w:p>
    <w:tbl>
      <w:tblPr>
        <w:tblW w:w="6030" w:type="dxa"/>
        <w:tblInd w:w="918" w:type="dxa"/>
        <w:tblLook w:val="04A0"/>
      </w:tblPr>
      <w:tblGrid>
        <w:gridCol w:w="1530"/>
        <w:gridCol w:w="1440"/>
        <w:gridCol w:w="1260"/>
        <w:gridCol w:w="1800"/>
      </w:tblGrid>
      <w:tr w:rsidR="00082FC0" w:rsidRPr="00B02F47" w:rsidTr="00082FC0">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 </w:t>
            </w:r>
          </w:p>
        </w:tc>
        <w:tc>
          <w:tcPr>
            <w:tcW w:w="4500" w:type="dxa"/>
            <w:gridSpan w:val="3"/>
            <w:tcBorders>
              <w:top w:val="single" w:sz="4" w:space="0" w:color="auto"/>
              <w:bottom w:val="single" w:sz="4" w:space="0" w:color="auto"/>
              <w:right w:val="single" w:sz="4" w:space="0" w:color="auto"/>
            </w:tcBorders>
            <w:shd w:val="clear" w:color="auto" w:fill="auto"/>
          </w:tcPr>
          <w:p w:rsidR="00082FC0" w:rsidRPr="00082FC0" w:rsidRDefault="00082FC0" w:rsidP="004138AE">
            <w:pPr>
              <w:rPr>
                <w:b/>
              </w:rPr>
            </w:pPr>
            <w:r w:rsidRPr="00082FC0">
              <w:rPr>
                <w:b/>
              </w:rPr>
              <w:t xml:space="preserve">Operating </w:t>
            </w:r>
            <w:r w:rsidR="000D61D2">
              <w:rPr>
                <w:b/>
              </w:rPr>
              <w:t>Cover Covered by Revenue</w:t>
            </w:r>
            <w:r w:rsidR="0049426C">
              <w:rPr>
                <w:b/>
              </w:rPr>
              <w:t xml:space="preserve"> %</w:t>
            </w:r>
          </w:p>
        </w:tc>
      </w:tr>
      <w:tr w:rsidR="00082FC0" w:rsidRPr="00B02F47" w:rsidTr="00082FC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082FC0" w:rsidRDefault="00082FC0" w:rsidP="004138AE">
            <w:pPr>
              <w:rPr>
                <w:rFonts w:ascii="Calibri" w:eastAsia="Times New Roman" w:hAnsi="Calibri" w:cs="Times New Roman"/>
                <w:b/>
                <w:color w:val="000000"/>
              </w:rPr>
            </w:pPr>
            <w:r w:rsidRPr="00082FC0">
              <w:rPr>
                <w:rFonts w:ascii="Calibri" w:eastAsia="Times New Roman" w:hAnsi="Calibri" w:cs="Times New Roman"/>
                <w:b/>
                <w:color w:val="000000"/>
              </w:rPr>
              <w:t>DOMLEC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82FC0" w:rsidRPr="00082FC0" w:rsidRDefault="00082FC0" w:rsidP="004138AE">
            <w:pPr>
              <w:rPr>
                <w:rFonts w:ascii="Calibri" w:eastAsia="Times New Roman" w:hAnsi="Calibri" w:cs="Times New Roman"/>
                <w:b/>
                <w:color w:val="000000"/>
              </w:rPr>
            </w:pPr>
            <w:r w:rsidRPr="00082FC0">
              <w:rPr>
                <w:rFonts w:ascii="Calibri" w:eastAsia="Times New Roman" w:hAnsi="Calibri" w:cs="Times New Roman"/>
                <w:b/>
                <w:color w:val="000000"/>
              </w:rPr>
              <w:t>LUCELEC</w:t>
            </w:r>
          </w:p>
        </w:tc>
        <w:tc>
          <w:tcPr>
            <w:tcW w:w="1800" w:type="dxa"/>
            <w:tcBorders>
              <w:top w:val="nil"/>
              <w:left w:val="nil"/>
              <w:bottom w:val="single" w:sz="4" w:space="0" w:color="auto"/>
              <w:right w:val="single" w:sz="4" w:space="0" w:color="auto"/>
            </w:tcBorders>
            <w:shd w:val="clear" w:color="auto" w:fill="auto"/>
            <w:noWrap/>
            <w:vAlign w:val="bottom"/>
            <w:hideMark/>
          </w:tcPr>
          <w:p w:rsidR="00082FC0" w:rsidRPr="00082FC0" w:rsidRDefault="00082FC0" w:rsidP="004138AE">
            <w:pPr>
              <w:rPr>
                <w:rFonts w:ascii="Calibri" w:eastAsia="Times New Roman" w:hAnsi="Calibri" w:cs="Times New Roman"/>
                <w:b/>
                <w:color w:val="000000"/>
              </w:rPr>
            </w:pPr>
            <w:r w:rsidRPr="00082FC0">
              <w:rPr>
                <w:rFonts w:ascii="Calibri" w:eastAsia="Times New Roman" w:hAnsi="Calibri" w:cs="Times New Roman"/>
                <w:b/>
                <w:color w:val="000000"/>
              </w:rPr>
              <w:t>GRENLEC</w:t>
            </w:r>
          </w:p>
        </w:tc>
      </w:tr>
      <w:tr w:rsidR="00082FC0" w:rsidRPr="00B02F47" w:rsidTr="00082FC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2012</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9</w:t>
            </w:r>
            <w:r w:rsidR="0049426C">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86</w:t>
            </w:r>
          </w:p>
        </w:tc>
        <w:tc>
          <w:tcPr>
            <w:tcW w:w="180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84</w:t>
            </w:r>
          </w:p>
        </w:tc>
      </w:tr>
      <w:tr w:rsidR="00082FC0" w:rsidRPr="00B02F47" w:rsidTr="00082FC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2013</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83</w:t>
            </w:r>
          </w:p>
        </w:tc>
        <w:tc>
          <w:tcPr>
            <w:tcW w:w="126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86</w:t>
            </w:r>
          </w:p>
        </w:tc>
        <w:tc>
          <w:tcPr>
            <w:tcW w:w="180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Pr>
                <w:rFonts w:ascii="Calibri" w:eastAsia="Times New Roman" w:hAnsi="Calibri" w:cs="Times New Roman"/>
                <w:color w:val="000000"/>
              </w:rPr>
              <w:t>83</w:t>
            </w:r>
          </w:p>
        </w:tc>
      </w:tr>
      <w:tr w:rsidR="00082FC0" w:rsidRPr="00B02F47" w:rsidTr="00082FC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2014</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81</w:t>
            </w:r>
          </w:p>
        </w:tc>
        <w:tc>
          <w:tcPr>
            <w:tcW w:w="126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85</w:t>
            </w:r>
          </w:p>
        </w:tc>
        <w:tc>
          <w:tcPr>
            <w:tcW w:w="180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80</w:t>
            </w:r>
          </w:p>
        </w:tc>
      </w:tr>
      <w:tr w:rsidR="00082FC0" w:rsidRPr="00B02F47" w:rsidTr="00082FC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2015</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72</w:t>
            </w:r>
          </w:p>
        </w:tc>
        <w:tc>
          <w:tcPr>
            <w:tcW w:w="126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83</w:t>
            </w:r>
          </w:p>
        </w:tc>
        <w:tc>
          <w:tcPr>
            <w:tcW w:w="180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76</w:t>
            </w:r>
          </w:p>
        </w:tc>
      </w:tr>
      <w:tr w:rsidR="00082FC0" w:rsidRPr="00B02F47" w:rsidTr="00082FC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2016</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sidRPr="00B02F47">
              <w:rPr>
                <w:rFonts w:ascii="Calibri" w:eastAsia="Times New Roman" w:hAnsi="Calibri" w:cs="Times New Roman"/>
                <w:color w:val="000000"/>
              </w:rPr>
              <w:t>63</w:t>
            </w:r>
          </w:p>
        </w:tc>
        <w:tc>
          <w:tcPr>
            <w:tcW w:w="126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Pr>
                <w:rFonts w:ascii="Calibri" w:eastAsia="Times New Roman" w:hAnsi="Calibri" w:cs="Times New Roman"/>
                <w:color w:val="000000"/>
              </w:rPr>
              <w:t xml:space="preserve"> NA</w:t>
            </w:r>
          </w:p>
        </w:tc>
        <w:tc>
          <w:tcPr>
            <w:tcW w:w="1800" w:type="dxa"/>
            <w:tcBorders>
              <w:top w:val="nil"/>
              <w:left w:val="nil"/>
              <w:bottom w:val="single" w:sz="4" w:space="0" w:color="auto"/>
              <w:right w:val="single" w:sz="4" w:space="0" w:color="auto"/>
            </w:tcBorders>
            <w:shd w:val="clear" w:color="auto" w:fill="auto"/>
            <w:noWrap/>
            <w:vAlign w:val="bottom"/>
            <w:hideMark/>
          </w:tcPr>
          <w:p w:rsidR="00082FC0" w:rsidRPr="00B02F47" w:rsidRDefault="00082FC0" w:rsidP="004138AE">
            <w:pPr>
              <w:rPr>
                <w:rFonts w:ascii="Calibri" w:eastAsia="Times New Roman" w:hAnsi="Calibri" w:cs="Times New Roman"/>
                <w:color w:val="000000"/>
              </w:rPr>
            </w:pPr>
            <w:r>
              <w:rPr>
                <w:rFonts w:ascii="Calibri" w:eastAsia="Times New Roman" w:hAnsi="Calibri" w:cs="Times New Roman"/>
                <w:color w:val="000000"/>
              </w:rPr>
              <w:t xml:space="preserve">  NA</w:t>
            </w:r>
            <w:r w:rsidRPr="00B02F47">
              <w:rPr>
                <w:rFonts w:ascii="Calibri" w:eastAsia="Times New Roman" w:hAnsi="Calibri" w:cs="Times New Roman"/>
                <w:color w:val="000000"/>
              </w:rPr>
              <w:t xml:space="preserve"> </w:t>
            </w:r>
          </w:p>
        </w:tc>
      </w:tr>
    </w:tbl>
    <w:p w:rsidR="00B02F47" w:rsidRDefault="00B02F47" w:rsidP="004138AE">
      <w:pPr>
        <w:pStyle w:val="NoSpacing"/>
        <w:jc w:val="both"/>
        <w:rPr>
          <w:rFonts w:ascii="Times New Roman" w:hAnsi="Times New Roman" w:cs="Times New Roman"/>
          <w:sz w:val="24"/>
          <w:szCs w:val="24"/>
        </w:rPr>
      </w:pPr>
    </w:p>
    <w:p w:rsidR="006C3382" w:rsidRDefault="006C3382" w:rsidP="004138AE">
      <w:pPr>
        <w:pStyle w:val="NoSpacing"/>
        <w:jc w:val="both"/>
        <w:rPr>
          <w:rFonts w:ascii="Times New Roman" w:hAnsi="Times New Roman" w:cs="Times New Roman"/>
          <w:sz w:val="24"/>
          <w:szCs w:val="24"/>
        </w:rPr>
      </w:pPr>
    </w:p>
    <w:p w:rsidR="0011308F" w:rsidRDefault="001E0F81"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review of </w:t>
      </w:r>
      <w:r w:rsidR="00BF2E2D">
        <w:rPr>
          <w:rFonts w:ascii="Times New Roman" w:hAnsi="Times New Roman" w:cs="Times New Roman"/>
          <w:sz w:val="24"/>
          <w:szCs w:val="24"/>
        </w:rPr>
        <w:t xml:space="preserve">table </w:t>
      </w:r>
      <w:r w:rsidR="00AF16C8">
        <w:rPr>
          <w:rFonts w:ascii="Times New Roman" w:hAnsi="Times New Roman" w:cs="Times New Roman"/>
          <w:sz w:val="24"/>
          <w:szCs w:val="24"/>
        </w:rPr>
        <w:t>7</w:t>
      </w:r>
      <w:r w:rsidR="00BF2E2D">
        <w:rPr>
          <w:rFonts w:ascii="Times New Roman" w:hAnsi="Times New Roman" w:cs="Times New Roman"/>
          <w:sz w:val="24"/>
          <w:szCs w:val="24"/>
        </w:rPr>
        <w:t xml:space="preserve"> i</w:t>
      </w:r>
      <w:r w:rsidR="003E717F">
        <w:rPr>
          <w:rFonts w:ascii="Times New Roman" w:hAnsi="Times New Roman" w:cs="Times New Roman"/>
          <w:sz w:val="24"/>
          <w:szCs w:val="24"/>
        </w:rPr>
        <w:t>ndicates</w:t>
      </w:r>
      <w:r w:rsidR="00BF2E2D">
        <w:rPr>
          <w:rFonts w:ascii="Times New Roman" w:hAnsi="Times New Roman" w:cs="Times New Roman"/>
          <w:sz w:val="24"/>
          <w:szCs w:val="24"/>
        </w:rPr>
        <w:t xml:space="preserve"> </w:t>
      </w:r>
      <w:r w:rsidR="00271EB4">
        <w:rPr>
          <w:rFonts w:ascii="Times New Roman" w:hAnsi="Times New Roman" w:cs="Times New Roman"/>
          <w:sz w:val="24"/>
          <w:szCs w:val="24"/>
        </w:rPr>
        <w:t xml:space="preserve">that the </w:t>
      </w:r>
      <w:r w:rsidR="003E717F">
        <w:rPr>
          <w:rFonts w:ascii="Times New Roman" w:hAnsi="Times New Roman" w:cs="Times New Roman"/>
          <w:sz w:val="24"/>
          <w:szCs w:val="24"/>
        </w:rPr>
        <w:t>operating ratio</w:t>
      </w:r>
      <w:r w:rsidR="00271EB4">
        <w:rPr>
          <w:rFonts w:ascii="Times New Roman" w:hAnsi="Times New Roman" w:cs="Times New Roman"/>
          <w:sz w:val="24"/>
          <w:szCs w:val="24"/>
        </w:rPr>
        <w:t xml:space="preserve"> declined significantly from 91% in 2012 to 63% in 2016</w:t>
      </w:r>
      <w:r w:rsidR="003E717F" w:rsidRPr="00554151">
        <w:rPr>
          <w:rFonts w:ascii="Times New Roman" w:hAnsi="Times New Roman" w:cs="Times New Roman"/>
          <w:sz w:val="24"/>
          <w:szCs w:val="24"/>
        </w:rPr>
        <w:t xml:space="preserve">. </w:t>
      </w:r>
      <w:r w:rsidR="00271EB4" w:rsidRPr="00554151">
        <w:rPr>
          <w:rFonts w:ascii="Times New Roman" w:hAnsi="Times New Roman" w:cs="Times New Roman"/>
          <w:sz w:val="24"/>
          <w:szCs w:val="24"/>
        </w:rPr>
        <w:t xml:space="preserve">As seen, </w:t>
      </w:r>
      <w:r w:rsidR="00085521" w:rsidRPr="00554151">
        <w:rPr>
          <w:rFonts w:ascii="Times New Roman" w:hAnsi="Times New Roman" w:cs="Times New Roman"/>
          <w:sz w:val="24"/>
          <w:szCs w:val="24"/>
        </w:rPr>
        <w:t>DOMLEC’s</w:t>
      </w:r>
      <w:r w:rsidR="00271EB4" w:rsidRPr="00554151">
        <w:rPr>
          <w:rFonts w:ascii="Times New Roman" w:hAnsi="Times New Roman" w:cs="Times New Roman"/>
          <w:sz w:val="24"/>
          <w:szCs w:val="24"/>
        </w:rPr>
        <w:t xml:space="preserve"> ratio </w:t>
      </w:r>
      <w:r w:rsidR="009E3492" w:rsidRPr="00554151">
        <w:rPr>
          <w:rFonts w:ascii="Times New Roman" w:hAnsi="Times New Roman" w:cs="Times New Roman"/>
          <w:sz w:val="24"/>
          <w:szCs w:val="24"/>
        </w:rPr>
        <w:t>rema</w:t>
      </w:r>
      <w:r w:rsidR="00577A46" w:rsidRPr="00554151">
        <w:rPr>
          <w:rFonts w:ascii="Times New Roman" w:hAnsi="Times New Roman" w:cs="Times New Roman"/>
          <w:sz w:val="24"/>
          <w:szCs w:val="24"/>
        </w:rPr>
        <w:t>in</w:t>
      </w:r>
      <w:r w:rsidR="009E3492" w:rsidRPr="00554151">
        <w:rPr>
          <w:rFonts w:ascii="Times New Roman" w:hAnsi="Times New Roman" w:cs="Times New Roman"/>
          <w:sz w:val="24"/>
          <w:szCs w:val="24"/>
        </w:rPr>
        <w:t xml:space="preserve">ed </w:t>
      </w:r>
      <w:r w:rsidR="00554151" w:rsidRPr="00554151">
        <w:rPr>
          <w:rFonts w:ascii="Times New Roman" w:hAnsi="Times New Roman" w:cs="Times New Roman"/>
          <w:sz w:val="24"/>
          <w:szCs w:val="24"/>
        </w:rPr>
        <w:t xml:space="preserve">well within </w:t>
      </w:r>
      <w:r w:rsidR="00577A46" w:rsidRPr="00554151">
        <w:rPr>
          <w:rFonts w:ascii="Times New Roman" w:hAnsi="Times New Roman" w:cs="Times New Roman"/>
          <w:sz w:val="24"/>
          <w:szCs w:val="24"/>
        </w:rPr>
        <w:t>the acceptable limit</w:t>
      </w:r>
      <w:r w:rsidR="00554151" w:rsidRPr="00554151">
        <w:rPr>
          <w:rFonts w:ascii="Times New Roman" w:hAnsi="Times New Roman" w:cs="Times New Roman"/>
          <w:sz w:val="24"/>
          <w:szCs w:val="24"/>
        </w:rPr>
        <w:t>,</w:t>
      </w:r>
      <w:r w:rsidR="00085521" w:rsidRPr="00554151">
        <w:rPr>
          <w:rFonts w:ascii="Times New Roman" w:hAnsi="Times New Roman" w:cs="Times New Roman"/>
          <w:sz w:val="24"/>
          <w:szCs w:val="24"/>
        </w:rPr>
        <w:t xml:space="preserve"> </w:t>
      </w:r>
      <w:r w:rsidR="00B8168C" w:rsidRPr="00554151">
        <w:rPr>
          <w:rFonts w:ascii="Times New Roman" w:hAnsi="Times New Roman" w:cs="Times New Roman"/>
          <w:sz w:val="24"/>
          <w:szCs w:val="24"/>
        </w:rPr>
        <w:t xml:space="preserve">that </w:t>
      </w:r>
      <w:r w:rsidR="00085521" w:rsidRPr="00554151">
        <w:rPr>
          <w:rFonts w:ascii="Times New Roman" w:hAnsi="Times New Roman" w:cs="Times New Roman"/>
          <w:sz w:val="24"/>
          <w:szCs w:val="24"/>
        </w:rPr>
        <w:t>is</w:t>
      </w:r>
      <w:r w:rsidR="00554151" w:rsidRPr="00554151">
        <w:rPr>
          <w:rFonts w:ascii="Times New Roman" w:hAnsi="Times New Roman" w:cs="Times New Roman"/>
          <w:sz w:val="24"/>
          <w:szCs w:val="24"/>
        </w:rPr>
        <w:t>,</w:t>
      </w:r>
      <w:r w:rsidR="00085521" w:rsidRPr="00554151">
        <w:rPr>
          <w:rFonts w:ascii="Times New Roman" w:hAnsi="Times New Roman" w:cs="Times New Roman"/>
          <w:sz w:val="24"/>
          <w:szCs w:val="24"/>
        </w:rPr>
        <w:t xml:space="preserve"> below</w:t>
      </w:r>
      <w:r w:rsidR="00577A46" w:rsidRPr="00554151">
        <w:rPr>
          <w:rFonts w:ascii="Times New Roman" w:hAnsi="Times New Roman" w:cs="Times New Roman"/>
          <w:sz w:val="24"/>
          <w:szCs w:val="24"/>
        </w:rPr>
        <w:t xml:space="preserve"> 100%</w:t>
      </w:r>
      <w:r w:rsidR="003F546D" w:rsidRPr="00554151">
        <w:rPr>
          <w:rStyle w:val="FootnoteReference"/>
          <w:rFonts w:ascii="Times New Roman" w:hAnsi="Times New Roman" w:cs="Times New Roman"/>
          <w:sz w:val="24"/>
          <w:szCs w:val="24"/>
        </w:rPr>
        <w:footnoteReference w:id="9"/>
      </w:r>
      <w:r w:rsidR="009E3492" w:rsidRPr="00554151">
        <w:rPr>
          <w:rFonts w:ascii="Times New Roman" w:hAnsi="Times New Roman" w:cs="Times New Roman"/>
          <w:sz w:val="24"/>
          <w:szCs w:val="24"/>
        </w:rPr>
        <w:t xml:space="preserve"> </w:t>
      </w:r>
      <w:r w:rsidR="00085521" w:rsidRPr="00554151">
        <w:rPr>
          <w:rFonts w:ascii="Times New Roman" w:hAnsi="Times New Roman" w:cs="Times New Roman"/>
          <w:sz w:val="24"/>
          <w:szCs w:val="24"/>
        </w:rPr>
        <w:t>for the industry.</w:t>
      </w:r>
      <w:r w:rsidR="009E3492">
        <w:rPr>
          <w:rFonts w:ascii="Times New Roman" w:hAnsi="Times New Roman" w:cs="Times New Roman"/>
          <w:sz w:val="24"/>
          <w:szCs w:val="24"/>
        </w:rPr>
        <w:t xml:space="preserve"> </w:t>
      </w:r>
      <w:r w:rsidR="00E82237">
        <w:rPr>
          <w:rFonts w:ascii="Times New Roman" w:hAnsi="Times New Roman" w:cs="Times New Roman"/>
          <w:sz w:val="24"/>
          <w:szCs w:val="24"/>
        </w:rPr>
        <w:t xml:space="preserve">This </w:t>
      </w:r>
      <w:r w:rsidR="00085521">
        <w:rPr>
          <w:rFonts w:ascii="Times New Roman" w:hAnsi="Times New Roman" w:cs="Times New Roman"/>
          <w:sz w:val="24"/>
          <w:szCs w:val="24"/>
        </w:rPr>
        <w:t>signal</w:t>
      </w:r>
      <w:r w:rsidR="00B8168C">
        <w:rPr>
          <w:rFonts w:ascii="Times New Roman" w:hAnsi="Times New Roman" w:cs="Times New Roman"/>
          <w:sz w:val="24"/>
          <w:szCs w:val="24"/>
        </w:rPr>
        <w:t xml:space="preserve">ed that </w:t>
      </w:r>
      <w:r w:rsidR="00376A60">
        <w:rPr>
          <w:rFonts w:ascii="Times New Roman" w:hAnsi="Times New Roman" w:cs="Times New Roman"/>
          <w:sz w:val="24"/>
          <w:szCs w:val="24"/>
        </w:rPr>
        <w:t>the company</w:t>
      </w:r>
      <w:r w:rsidR="00B8168C">
        <w:rPr>
          <w:rFonts w:ascii="Times New Roman" w:hAnsi="Times New Roman" w:cs="Times New Roman"/>
          <w:sz w:val="24"/>
          <w:szCs w:val="24"/>
        </w:rPr>
        <w:t xml:space="preserve"> continues to be liquid</w:t>
      </w:r>
      <w:r w:rsidR="00A6286F">
        <w:rPr>
          <w:rFonts w:ascii="Times New Roman" w:hAnsi="Times New Roman" w:cs="Times New Roman"/>
          <w:sz w:val="24"/>
          <w:szCs w:val="24"/>
        </w:rPr>
        <w:t xml:space="preserve">. </w:t>
      </w:r>
      <w:r w:rsidR="00B8168C">
        <w:rPr>
          <w:rFonts w:ascii="Times New Roman" w:hAnsi="Times New Roman" w:cs="Times New Roman"/>
          <w:sz w:val="24"/>
          <w:szCs w:val="24"/>
        </w:rPr>
        <w:t>DOMLEC’s</w:t>
      </w:r>
      <w:r w:rsidR="009E3492">
        <w:rPr>
          <w:rFonts w:ascii="Times New Roman" w:hAnsi="Times New Roman" w:cs="Times New Roman"/>
          <w:sz w:val="24"/>
          <w:szCs w:val="24"/>
        </w:rPr>
        <w:t xml:space="preserve"> most favourable </w:t>
      </w:r>
      <w:r w:rsidR="00EA198A">
        <w:rPr>
          <w:rFonts w:ascii="Times New Roman" w:hAnsi="Times New Roman" w:cs="Times New Roman"/>
          <w:sz w:val="24"/>
          <w:szCs w:val="24"/>
        </w:rPr>
        <w:t xml:space="preserve">year was </w:t>
      </w:r>
      <w:r w:rsidR="00A6286F">
        <w:rPr>
          <w:rFonts w:ascii="Times New Roman" w:hAnsi="Times New Roman" w:cs="Times New Roman"/>
          <w:sz w:val="24"/>
          <w:szCs w:val="24"/>
        </w:rPr>
        <w:t xml:space="preserve">2016 </w:t>
      </w:r>
      <w:r w:rsidR="00EA198A">
        <w:rPr>
          <w:rFonts w:ascii="Times New Roman" w:hAnsi="Times New Roman" w:cs="Times New Roman"/>
          <w:sz w:val="24"/>
          <w:szCs w:val="24"/>
        </w:rPr>
        <w:t xml:space="preserve">when the ratio </w:t>
      </w:r>
      <w:r w:rsidR="00A6286F">
        <w:rPr>
          <w:rFonts w:ascii="Times New Roman" w:hAnsi="Times New Roman" w:cs="Times New Roman"/>
          <w:sz w:val="24"/>
          <w:szCs w:val="24"/>
        </w:rPr>
        <w:t xml:space="preserve">stood </w:t>
      </w:r>
      <w:r w:rsidR="0010350D">
        <w:rPr>
          <w:rFonts w:ascii="Times New Roman" w:hAnsi="Times New Roman" w:cs="Times New Roman"/>
          <w:sz w:val="24"/>
          <w:szCs w:val="24"/>
        </w:rPr>
        <w:t>at 63</w:t>
      </w:r>
      <w:r w:rsidR="00376A60">
        <w:rPr>
          <w:rFonts w:ascii="Times New Roman" w:hAnsi="Times New Roman" w:cs="Times New Roman"/>
          <w:sz w:val="24"/>
          <w:szCs w:val="24"/>
        </w:rPr>
        <w:t xml:space="preserve">%. </w:t>
      </w:r>
      <w:r w:rsidR="00554151">
        <w:rPr>
          <w:rFonts w:ascii="Times New Roman" w:hAnsi="Times New Roman" w:cs="Times New Roman"/>
          <w:sz w:val="24"/>
          <w:szCs w:val="24"/>
        </w:rPr>
        <w:t>Overall</w:t>
      </w:r>
      <w:r w:rsidR="00554151" w:rsidRPr="00554151">
        <w:rPr>
          <w:rFonts w:ascii="Times New Roman" w:hAnsi="Times New Roman" w:cs="Times New Roman"/>
          <w:sz w:val="24"/>
          <w:szCs w:val="24"/>
        </w:rPr>
        <w:t xml:space="preserve">, </w:t>
      </w:r>
      <w:r w:rsidR="005150AE">
        <w:rPr>
          <w:rFonts w:ascii="Times New Roman" w:hAnsi="Times New Roman" w:cs="Times New Roman"/>
          <w:sz w:val="24"/>
          <w:szCs w:val="24"/>
        </w:rPr>
        <w:t xml:space="preserve">the three utilities are within the acceptable limit but </w:t>
      </w:r>
      <w:r w:rsidR="00376A60" w:rsidRPr="00554151">
        <w:rPr>
          <w:rFonts w:ascii="Times New Roman" w:hAnsi="Times New Roman" w:cs="Times New Roman"/>
          <w:sz w:val="24"/>
          <w:szCs w:val="24"/>
        </w:rPr>
        <w:t xml:space="preserve">DOMLEC’s </w:t>
      </w:r>
      <w:r w:rsidR="005150AE">
        <w:rPr>
          <w:rFonts w:ascii="Times New Roman" w:hAnsi="Times New Roman" w:cs="Times New Roman"/>
          <w:sz w:val="24"/>
          <w:szCs w:val="24"/>
        </w:rPr>
        <w:t>performance was noteworthy.</w:t>
      </w:r>
      <w:r w:rsidR="00376A60">
        <w:rPr>
          <w:rFonts w:ascii="Times New Roman" w:hAnsi="Times New Roman" w:cs="Times New Roman"/>
          <w:sz w:val="24"/>
          <w:szCs w:val="24"/>
        </w:rPr>
        <w:t xml:space="preserve"> </w:t>
      </w:r>
    </w:p>
    <w:p w:rsidR="00376A60" w:rsidRDefault="00376A60" w:rsidP="004138AE">
      <w:pPr>
        <w:pStyle w:val="NoSpacing"/>
        <w:jc w:val="both"/>
        <w:rPr>
          <w:rFonts w:ascii="Times New Roman" w:hAnsi="Times New Roman" w:cs="Times New Roman"/>
          <w:b/>
          <w:sz w:val="24"/>
          <w:szCs w:val="24"/>
          <w:u w:val="single"/>
        </w:rPr>
      </w:pPr>
    </w:p>
    <w:p w:rsidR="00B53FA7" w:rsidRPr="00027E03" w:rsidRDefault="00027E03" w:rsidP="004138AE">
      <w:pPr>
        <w:pStyle w:val="NoSpacing"/>
        <w:jc w:val="both"/>
        <w:outlineLvl w:val="1"/>
        <w:rPr>
          <w:rFonts w:ascii="Times New Roman" w:hAnsi="Times New Roman" w:cs="Times New Roman"/>
          <w:b/>
          <w:sz w:val="24"/>
          <w:szCs w:val="24"/>
        </w:rPr>
      </w:pPr>
      <w:bookmarkStart w:id="16" w:name="_Toc485128745"/>
      <w:r>
        <w:rPr>
          <w:rFonts w:ascii="Times New Roman" w:hAnsi="Times New Roman" w:cs="Times New Roman"/>
          <w:b/>
          <w:sz w:val="24"/>
          <w:szCs w:val="24"/>
        </w:rPr>
        <w:t xml:space="preserve">2.4 </w:t>
      </w:r>
      <w:r w:rsidR="004E7D0D" w:rsidRPr="00FC035C">
        <w:rPr>
          <w:rFonts w:ascii="Times New Roman" w:hAnsi="Times New Roman" w:cs="Times New Roman"/>
          <w:b/>
          <w:sz w:val="24"/>
          <w:szCs w:val="24"/>
          <w:u w:val="single"/>
        </w:rPr>
        <w:t>MANAGEMENT EFFICIENC</w:t>
      </w:r>
      <w:r w:rsidR="00B53FA7" w:rsidRPr="00FC035C">
        <w:rPr>
          <w:rFonts w:ascii="Times New Roman" w:hAnsi="Times New Roman" w:cs="Times New Roman"/>
          <w:b/>
          <w:sz w:val="24"/>
          <w:szCs w:val="24"/>
          <w:u w:val="single"/>
        </w:rPr>
        <w:t>Y</w:t>
      </w:r>
      <w:bookmarkEnd w:id="16"/>
    </w:p>
    <w:p w:rsidR="00B53FA7" w:rsidRDefault="00B53FA7" w:rsidP="004138AE">
      <w:pPr>
        <w:pStyle w:val="NoSpacing"/>
        <w:jc w:val="both"/>
        <w:rPr>
          <w:rFonts w:ascii="Times New Roman" w:hAnsi="Times New Roman" w:cs="Times New Roman"/>
          <w:b/>
          <w:sz w:val="24"/>
          <w:szCs w:val="24"/>
          <w:u w:val="single"/>
        </w:rPr>
      </w:pPr>
    </w:p>
    <w:p w:rsidR="00B53FA7" w:rsidRPr="00B53FA7" w:rsidRDefault="00B53FA7" w:rsidP="004138AE">
      <w:pPr>
        <w:pStyle w:val="NoSpacing"/>
        <w:jc w:val="both"/>
        <w:rPr>
          <w:rFonts w:ascii="Times New Roman" w:hAnsi="Times New Roman" w:cs="Times New Roman"/>
          <w:sz w:val="24"/>
          <w:szCs w:val="24"/>
        </w:rPr>
      </w:pPr>
      <w:r w:rsidRPr="00B53FA7">
        <w:rPr>
          <w:rFonts w:ascii="Times New Roman" w:hAnsi="Times New Roman" w:cs="Times New Roman"/>
          <w:sz w:val="24"/>
          <w:szCs w:val="24"/>
        </w:rPr>
        <w:t xml:space="preserve">The </w:t>
      </w:r>
      <w:r>
        <w:rPr>
          <w:rFonts w:ascii="Times New Roman" w:hAnsi="Times New Roman" w:cs="Times New Roman"/>
          <w:sz w:val="24"/>
          <w:szCs w:val="24"/>
        </w:rPr>
        <w:t>management</w:t>
      </w:r>
      <w:r w:rsidR="006C458A">
        <w:rPr>
          <w:rFonts w:ascii="Times New Roman" w:hAnsi="Times New Roman" w:cs="Times New Roman"/>
          <w:sz w:val="24"/>
          <w:szCs w:val="24"/>
        </w:rPr>
        <w:t xml:space="preserve"> </w:t>
      </w:r>
      <w:r w:rsidR="00FD5D81">
        <w:rPr>
          <w:rFonts w:ascii="Times New Roman" w:hAnsi="Times New Roman" w:cs="Times New Roman"/>
          <w:sz w:val="24"/>
          <w:szCs w:val="24"/>
        </w:rPr>
        <w:t xml:space="preserve">efficiency ratio </w:t>
      </w:r>
      <w:r w:rsidR="006C458A">
        <w:rPr>
          <w:rFonts w:ascii="Times New Roman" w:hAnsi="Times New Roman" w:cs="Times New Roman"/>
          <w:sz w:val="24"/>
          <w:szCs w:val="24"/>
        </w:rPr>
        <w:t xml:space="preserve">measures the firm success in managing its </w:t>
      </w:r>
      <w:r w:rsidR="00F6268B">
        <w:rPr>
          <w:rFonts w:ascii="Times New Roman" w:hAnsi="Times New Roman" w:cs="Times New Roman"/>
          <w:sz w:val="24"/>
          <w:szCs w:val="24"/>
        </w:rPr>
        <w:t>assets (</w:t>
      </w:r>
      <w:r w:rsidR="006C458A">
        <w:rPr>
          <w:rFonts w:ascii="Times New Roman" w:hAnsi="Times New Roman" w:cs="Times New Roman"/>
          <w:sz w:val="24"/>
          <w:szCs w:val="24"/>
        </w:rPr>
        <w:t>input) to generate sales (output</w:t>
      </w:r>
      <w:r w:rsidR="00F6268B">
        <w:rPr>
          <w:rFonts w:ascii="Times New Roman" w:hAnsi="Times New Roman" w:cs="Times New Roman"/>
          <w:sz w:val="24"/>
          <w:szCs w:val="24"/>
        </w:rPr>
        <w:t>).</w:t>
      </w:r>
      <w:r w:rsidR="00FD5D81">
        <w:rPr>
          <w:rFonts w:ascii="Times New Roman" w:hAnsi="Times New Roman" w:cs="Times New Roman"/>
          <w:sz w:val="24"/>
          <w:szCs w:val="24"/>
        </w:rPr>
        <w:t xml:space="preserve">  The</w:t>
      </w:r>
      <w:r>
        <w:rPr>
          <w:rFonts w:ascii="Times New Roman" w:hAnsi="Times New Roman" w:cs="Times New Roman"/>
          <w:sz w:val="24"/>
          <w:szCs w:val="24"/>
        </w:rPr>
        <w:t xml:space="preserve"> efficiency </w:t>
      </w:r>
      <w:r w:rsidR="00376A60">
        <w:rPr>
          <w:rFonts w:ascii="Times New Roman" w:hAnsi="Times New Roman" w:cs="Times New Roman"/>
          <w:sz w:val="24"/>
          <w:szCs w:val="24"/>
        </w:rPr>
        <w:t>ratio</w:t>
      </w:r>
      <w:r w:rsidR="00FD5D81">
        <w:rPr>
          <w:rFonts w:ascii="Times New Roman" w:hAnsi="Times New Roman" w:cs="Times New Roman"/>
          <w:sz w:val="24"/>
          <w:szCs w:val="24"/>
        </w:rPr>
        <w:t xml:space="preserve"> presented in this report is </w:t>
      </w:r>
      <w:r>
        <w:rPr>
          <w:rFonts w:ascii="Times New Roman" w:hAnsi="Times New Roman" w:cs="Times New Roman"/>
          <w:sz w:val="24"/>
          <w:szCs w:val="24"/>
        </w:rPr>
        <w:t>day</w:t>
      </w:r>
      <w:r w:rsidR="0010350D">
        <w:rPr>
          <w:rFonts w:ascii="Times New Roman" w:hAnsi="Times New Roman" w:cs="Times New Roman"/>
          <w:sz w:val="24"/>
          <w:szCs w:val="24"/>
        </w:rPr>
        <w:t>s</w:t>
      </w:r>
      <w:r>
        <w:rPr>
          <w:rFonts w:ascii="Times New Roman" w:hAnsi="Times New Roman" w:cs="Times New Roman"/>
          <w:sz w:val="24"/>
          <w:szCs w:val="24"/>
        </w:rPr>
        <w:t xml:space="preserve"> </w:t>
      </w:r>
      <w:r w:rsidR="00F6268B">
        <w:rPr>
          <w:rFonts w:ascii="Times New Roman" w:hAnsi="Times New Roman" w:cs="Times New Roman"/>
          <w:sz w:val="24"/>
          <w:szCs w:val="24"/>
        </w:rPr>
        <w:t>of outstanding</w:t>
      </w:r>
      <w:r w:rsidR="006C458A">
        <w:rPr>
          <w:rFonts w:ascii="Times New Roman" w:hAnsi="Times New Roman" w:cs="Times New Roman"/>
          <w:sz w:val="24"/>
          <w:szCs w:val="24"/>
        </w:rPr>
        <w:t xml:space="preserve"> </w:t>
      </w:r>
      <w:r>
        <w:rPr>
          <w:rFonts w:ascii="Times New Roman" w:hAnsi="Times New Roman" w:cs="Times New Roman"/>
          <w:sz w:val="24"/>
          <w:szCs w:val="24"/>
        </w:rPr>
        <w:t>account</w:t>
      </w:r>
      <w:r w:rsidR="00853DAF">
        <w:rPr>
          <w:rFonts w:ascii="Times New Roman" w:hAnsi="Times New Roman" w:cs="Times New Roman"/>
          <w:sz w:val="24"/>
          <w:szCs w:val="24"/>
        </w:rPr>
        <w:t>s</w:t>
      </w:r>
      <w:r>
        <w:rPr>
          <w:rFonts w:ascii="Times New Roman" w:hAnsi="Times New Roman" w:cs="Times New Roman"/>
          <w:sz w:val="24"/>
          <w:szCs w:val="24"/>
        </w:rPr>
        <w:t xml:space="preserve"> receivable</w:t>
      </w:r>
      <w:r w:rsidR="00853DAF">
        <w:rPr>
          <w:rFonts w:ascii="Times New Roman" w:hAnsi="Times New Roman" w:cs="Times New Roman"/>
          <w:sz w:val="24"/>
          <w:szCs w:val="24"/>
        </w:rPr>
        <w:t>s</w:t>
      </w:r>
      <w:r w:rsidR="009052B5">
        <w:rPr>
          <w:rFonts w:ascii="Times New Roman" w:hAnsi="Times New Roman" w:cs="Times New Roman"/>
          <w:sz w:val="24"/>
          <w:szCs w:val="24"/>
        </w:rPr>
        <w:t>.</w:t>
      </w:r>
    </w:p>
    <w:p w:rsidR="00B53FA7" w:rsidRPr="00B53FA7" w:rsidRDefault="00B53FA7" w:rsidP="004138AE">
      <w:pPr>
        <w:pStyle w:val="NoSpacing"/>
        <w:ind w:left="720"/>
        <w:jc w:val="both"/>
        <w:rPr>
          <w:rFonts w:ascii="Times New Roman" w:hAnsi="Times New Roman" w:cs="Times New Roman"/>
          <w:b/>
          <w:sz w:val="24"/>
          <w:szCs w:val="24"/>
          <w:u w:val="single"/>
        </w:rPr>
      </w:pPr>
    </w:p>
    <w:p w:rsidR="004E7D0D" w:rsidRDefault="004E7D0D" w:rsidP="00875AF0">
      <w:pPr>
        <w:pStyle w:val="NoSpacing"/>
        <w:numPr>
          <w:ilvl w:val="0"/>
          <w:numId w:val="6"/>
        </w:numPr>
        <w:jc w:val="both"/>
        <w:outlineLvl w:val="2"/>
        <w:rPr>
          <w:rFonts w:ascii="Times New Roman" w:hAnsi="Times New Roman" w:cs="Times New Roman"/>
          <w:b/>
          <w:sz w:val="24"/>
          <w:szCs w:val="24"/>
        </w:rPr>
      </w:pPr>
      <w:bookmarkStart w:id="17" w:name="_Toc485128746"/>
      <w:r w:rsidRPr="00D74602">
        <w:rPr>
          <w:rFonts w:ascii="Times New Roman" w:hAnsi="Times New Roman" w:cs="Times New Roman"/>
          <w:b/>
          <w:sz w:val="24"/>
          <w:szCs w:val="24"/>
        </w:rPr>
        <w:t xml:space="preserve">Days of </w:t>
      </w:r>
      <w:r w:rsidR="00B24334">
        <w:rPr>
          <w:rFonts w:ascii="Times New Roman" w:hAnsi="Times New Roman" w:cs="Times New Roman"/>
          <w:b/>
          <w:sz w:val="24"/>
          <w:szCs w:val="24"/>
        </w:rPr>
        <w:t xml:space="preserve"> Outstanding </w:t>
      </w:r>
      <w:r w:rsidRPr="00D74602">
        <w:rPr>
          <w:rFonts w:ascii="Times New Roman" w:hAnsi="Times New Roman" w:cs="Times New Roman"/>
          <w:b/>
          <w:sz w:val="24"/>
          <w:szCs w:val="24"/>
        </w:rPr>
        <w:t>Accounts Receivables</w:t>
      </w:r>
      <w:bookmarkEnd w:id="17"/>
    </w:p>
    <w:p w:rsidR="00AB28BB" w:rsidRDefault="00AB28BB" w:rsidP="004138AE">
      <w:pPr>
        <w:pStyle w:val="NoSpacing"/>
        <w:jc w:val="both"/>
        <w:rPr>
          <w:rFonts w:ascii="Times New Roman" w:hAnsi="Times New Roman" w:cs="Times New Roman"/>
          <w:b/>
          <w:sz w:val="24"/>
          <w:szCs w:val="24"/>
        </w:rPr>
      </w:pPr>
    </w:p>
    <w:p w:rsidR="0010350D" w:rsidRDefault="00376A60" w:rsidP="004138AE">
      <w:pPr>
        <w:pStyle w:val="NoSpacing"/>
        <w:jc w:val="both"/>
        <w:rPr>
          <w:rFonts w:ascii="Times New Roman" w:hAnsi="Times New Roman" w:cs="Times New Roman"/>
          <w:sz w:val="24"/>
          <w:szCs w:val="24"/>
        </w:rPr>
      </w:pPr>
      <w:r>
        <w:rPr>
          <w:rFonts w:ascii="Times New Roman" w:hAnsi="Times New Roman" w:cs="Times New Roman"/>
          <w:sz w:val="24"/>
          <w:szCs w:val="24"/>
        </w:rPr>
        <w:t>The indicator</w:t>
      </w:r>
      <w:r w:rsidR="00F655CE">
        <w:rPr>
          <w:rFonts w:ascii="Times New Roman" w:hAnsi="Times New Roman" w:cs="Times New Roman"/>
          <w:sz w:val="24"/>
          <w:szCs w:val="24"/>
        </w:rPr>
        <w:t xml:space="preserve"> show</w:t>
      </w:r>
      <w:r w:rsidR="006D3E26">
        <w:rPr>
          <w:rFonts w:ascii="Times New Roman" w:hAnsi="Times New Roman" w:cs="Times New Roman"/>
          <w:sz w:val="24"/>
          <w:szCs w:val="24"/>
        </w:rPr>
        <w:t>s</w:t>
      </w:r>
      <w:r w:rsidR="00FD5D81">
        <w:rPr>
          <w:rFonts w:ascii="Times New Roman" w:hAnsi="Times New Roman" w:cs="Times New Roman"/>
          <w:sz w:val="24"/>
          <w:szCs w:val="24"/>
        </w:rPr>
        <w:t xml:space="preserve"> a company</w:t>
      </w:r>
      <w:r w:rsidR="006D3E26">
        <w:rPr>
          <w:rFonts w:ascii="Times New Roman" w:hAnsi="Times New Roman" w:cs="Times New Roman"/>
          <w:sz w:val="24"/>
          <w:szCs w:val="24"/>
        </w:rPr>
        <w:t>’s</w:t>
      </w:r>
      <w:r w:rsidR="00FD5D81">
        <w:rPr>
          <w:rFonts w:ascii="Times New Roman" w:hAnsi="Times New Roman" w:cs="Times New Roman"/>
          <w:sz w:val="24"/>
          <w:szCs w:val="24"/>
        </w:rPr>
        <w:t xml:space="preserve"> average collection period</w:t>
      </w:r>
      <w:r w:rsidR="00F655CE">
        <w:rPr>
          <w:rFonts w:ascii="Times New Roman" w:hAnsi="Times New Roman" w:cs="Times New Roman"/>
          <w:sz w:val="24"/>
          <w:szCs w:val="24"/>
        </w:rPr>
        <w:t xml:space="preserve">.  It measures </w:t>
      </w:r>
      <w:r w:rsidR="00853DAF">
        <w:rPr>
          <w:rFonts w:ascii="Times New Roman" w:hAnsi="Times New Roman" w:cs="Times New Roman"/>
          <w:sz w:val="24"/>
          <w:szCs w:val="24"/>
        </w:rPr>
        <w:t>how quickly a company col</w:t>
      </w:r>
      <w:r w:rsidR="00F655CE">
        <w:rPr>
          <w:rFonts w:ascii="Times New Roman" w:hAnsi="Times New Roman" w:cs="Times New Roman"/>
          <w:sz w:val="24"/>
          <w:szCs w:val="24"/>
        </w:rPr>
        <w:t xml:space="preserve">lects </w:t>
      </w:r>
      <w:r w:rsidR="00853DAF">
        <w:rPr>
          <w:rFonts w:ascii="Times New Roman" w:hAnsi="Times New Roman" w:cs="Times New Roman"/>
          <w:sz w:val="24"/>
          <w:szCs w:val="24"/>
        </w:rPr>
        <w:t>payment from customers</w:t>
      </w:r>
      <w:r w:rsidR="00F655CE">
        <w:rPr>
          <w:rFonts w:ascii="Times New Roman" w:hAnsi="Times New Roman" w:cs="Times New Roman"/>
          <w:sz w:val="24"/>
          <w:szCs w:val="24"/>
        </w:rPr>
        <w:t xml:space="preserve">.  </w:t>
      </w:r>
    </w:p>
    <w:p w:rsidR="0010350D" w:rsidRDefault="0010350D" w:rsidP="004138AE">
      <w:pPr>
        <w:pStyle w:val="NoSpacing"/>
        <w:jc w:val="both"/>
        <w:rPr>
          <w:rFonts w:ascii="Times New Roman" w:hAnsi="Times New Roman" w:cs="Times New Roman"/>
          <w:sz w:val="24"/>
          <w:szCs w:val="24"/>
        </w:rPr>
      </w:pPr>
    </w:p>
    <w:p w:rsidR="0010350D" w:rsidRDefault="0010350D" w:rsidP="004138AE">
      <w:pPr>
        <w:pStyle w:val="NoSpacing"/>
        <w:jc w:val="both"/>
        <w:rPr>
          <w:rFonts w:ascii="Times New Roman" w:hAnsi="Times New Roman" w:cs="Times New Roman"/>
          <w:sz w:val="24"/>
          <w:szCs w:val="24"/>
        </w:rPr>
      </w:pPr>
    </w:p>
    <w:p w:rsidR="00AB28BB" w:rsidRDefault="0039340B"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ratio is calculated </w:t>
      </w:r>
      <w:r w:rsidR="00F655CE">
        <w:rPr>
          <w:rFonts w:ascii="Times New Roman" w:hAnsi="Times New Roman" w:cs="Times New Roman"/>
          <w:sz w:val="24"/>
          <w:szCs w:val="24"/>
        </w:rPr>
        <w:t>as:</w:t>
      </w:r>
    </w:p>
    <w:p w:rsidR="0039340B" w:rsidRDefault="00654776" w:rsidP="004138AE">
      <w:pPr>
        <w:pStyle w:val="NoSpacing"/>
        <w:jc w:val="both"/>
        <w:rPr>
          <w:rFonts w:ascii="Times New Roman" w:hAnsi="Times New Roman" w:cs="Times New Roman"/>
          <w:sz w:val="24"/>
          <w:szCs w:val="24"/>
        </w:rPr>
      </w:pPr>
      <w:r>
        <w:rPr>
          <w:rFonts w:ascii="Times New Roman" w:hAnsi="Times New Roman" w:cs="Times New Roman"/>
          <w:sz w:val="24"/>
          <w:szCs w:val="24"/>
        </w:rPr>
        <w:t>Day</w:t>
      </w:r>
      <w:r w:rsidR="00027E03">
        <w:rPr>
          <w:rFonts w:ascii="Times New Roman" w:hAnsi="Times New Roman" w:cs="Times New Roman"/>
          <w:sz w:val="24"/>
          <w:szCs w:val="24"/>
        </w:rPr>
        <w:t>s</w:t>
      </w:r>
      <w:r>
        <w:rPr>
          <w:rFonts w:ascii="Times New Roman" w:hAnsi="Times New Roman" w:cs="Times New Roman"/>
          <w:sz w:val="24"/>
          <w:szCs w:val="24"/>
        </w:rPr>
        <w:t xml:space="preserve"> of Accounts Receivable = 365</w:t>
      </w:r>
      <w:r w:rsidR="0039340B">
        <w:rPr>
          <w:rFonts w:ascii="Times New Roman" w:hAnsi="Times New Roman" w:cs="Times New Roman"/>
          <w:sz w:val="24"/>
          <w:szCs w:val="24"/>
        </w:rPr>
        <w:t xml:space="preserve">/Annual Operating Revenues/Year-end Accounts </w:t>
      </w:r>
    </w:p>
    <w:p w:rsidR="0039340B" w:rsidRDefault="0039340B"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Receivable</w:t>
      </w:r>
    </w:p>
    <w:p w:rsidR="00F655CE" w:rsidRDefault="00F655CE" w:rsidP="004138AE">
      <w:pPr>
        <w:pStyle w:val="NoSpacing"/>
        <w:jc w:val="both"/>
        <w:rPr>
          <w:rFonts w:ascii="Times New Roman" w:hAnsi="Times New Roman" w:cs="Times New Roman"/>
          <w:sz w:val="24"/>
          <w:szCs w:val="24"/>
        </w:rPr>
      </w:pPr>
    </w:p>
    <w:p w:rsidR="00082FC0" w:rsidRDefault="00082FC0" w:rsidP="004138AE">
      <w:pPr>
        <w:pStyle w:val="NoSpacing"/>
        <w:jc w:val="both"/>
        <w:rPr>
          <w:rFonts w:ascii="Times New Roman" w:hAnsi="Times New Roman" w:cs="Times New Roman"/>
          <w:b/>
          <w:sz w:val="24"/>
          <w:szCs w:val="24"/>
        </w:rPr>
      </w:pPr>
    </w:p>
    <w:p w:rsidR="00082FC0" w:rsidRDefault="00082FC0" w:rsidP="004138AE">
      <w:pPr>
        <w:pStyle w:val="NoSpacing"/>
        <w:jc w:val="both"/>
        <w:rPr>
          <w:rFonts w:ascii="Times New Roman" w:hAnsi="Times New Roman" w:cs="Times New Roman"/>
          <w:b/>
          <w:sz w:val="24"/>
          <w:szCs w:val="24"/>
        </w:rPr>
      </w:pPr>
    </w:p>
    <w:p w:rsidR="00082FC0" w:rsidRDefault="00082FC0" w:rsidP="004138AE">
      <w:pPr>
        <w:pStyle w:val="NoSpacing"/>
        <w:jc w:val="both"/>
        <w:rPr>
          <w:rFonts w:ascii="Times New Roman" w:hAnsi="Times New Roman" w:cs="Times New Roman"/>
          <w:b/>
          <w:sz w:val="24"/>
          <w:szCs w:val="24"/>
        </w:rPr>
      </w:pPr>
    </w:p>
    <w:p w:rsidR="00082FC0" w:rsidRDefault="00082FC0" w:rsidP="004138AE">
      <w:pPr>
        <w:pStyle w:val="NoSpacing"/>
        <w:jc w:val="both"/>
        <w:rPr>
          <w:rFonts w:ascii="Times New Roman" w:hAnsi="Times New Roman" w:cs="Times New Roman"/>
          <w:b/>
          <w:sz w:val="24"/>
          <w:szCs w:val="24"/>
        </w:rPr>
      </w:pPr>
    </w:p>
    <w:p w:rsidR="00082FC0" w:rsidRDefault="00082FC0" w:rsidP="004138AE">
      <w:pPr>
        <w:pStyle w:val="NoSpacing"/>
        <w:jc w:val="both"/>
        <w:rPr>
          <w:rFonts w:ascii="Times New Roman" w:hAnsi="Times New Roman" w:cs="Times New Roman"/>
          <w:b/>
          <w:sz w:val="24"/>
          <w:szCs w:val="24"/>
        </w:rPr>
      </w:pPr>
    </w:p>
    <w:p w:rsidR="00526CD5" w:rsidRDefault="00526CD5" w:rsidP="004138AE">
      <w:pPr>
        <w:pStyle w:val="NoSpacing"/>
        <w:jc w:val="both"/>
        <w:rPr>
          <w:rFonts w:ascii="Times New Roman" w:hAnsi="Times New Roman" w:cs="Times New Roman"/>
          <w:b/>
          <w:sz w:val="24"/>
          <w:szCs w:val="24"/>
        </w:rPr>
      </w:pPr>
    </w:p>
    <w:p w:rsidR="00526CD5" w:rsidRDefault="00526CD5" w:rsidP="004138AE">
      <w:pPr>
        <w:pStyle w:val="NoSpacing"/>
        <w:jc w:val="both"/>
        <w:rPr>
          <w:rFonts w:ascii="Times New Roman" w:hAnsi="Times New Roman" w:cs="Times New Roman"/>
          <w:b/>
          <w:sz w:val="24"/>
          <w:szCs w:val="24"/>
        </w:rPr>
      </w:pPr>
    </w:p>
    <w:p w:rsidR="00526CD5" w:rsidRDefault="00526CD5" w:rsidP="004138AE">
      <w:pPr>
        <w:pStyle w:val="NoSpacing"/>
        <w:jc w:val="both"/>
        <w:rPr>
          <w:rFonts w:ascii="Times New Roman" w:hAnsi="Times New Roman" w:cs="Times New Roman"/>
          <w:b/>
          <w:sz w:val="24"/>
          <w:szCs w:val="24"/>
        </w:rPr>
      </w:pPr>
    </w:p>
    <w:p w:rsidR="00526CD5" w:rsidRDefault="00526CD5" w:rsidP="004138AE">
      <w:pPr>
        <w:pStyle w:val="NoSpacing"/>
        <w:jc w:val="both"/>
        <w:rPr>
          <w:rFonts w:ascii="Times New Roman" w:hAnsi="Times New Roman" w:cs="Times New Roman"/>
          <w:b/>
          <w:sz w:val="24"/>
          <w:szCs w:val="24"/>
        </w:rPr>
      </w:pPr>
    </w:p>
    <w:p w:rsidR="00082FC0" w:rsidRDefault="00082FC0" w:rsidP="004138AE">
      <w:pPr>
        <w:pStyle w:val="NoSpacing"/>
        <w:jc w:val="both"/>
        <w:rPr>
          <w:rFonts w:ascii="Times New Roman" w:hAnsi="Times New Roman" w:cs="Times New Roman"/>
          <w:b/>
          <w:sz w:val="24"/>
          <w:szCs w:val="24"/>
        </w:rPr>
      </w:pPr>
    </w:p>
    <w:p w:rsidR="00F655CE" w:rsidRPr="002B79DD" w:rsidRDefault="004138AE" w:rsidP="004138AE">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36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655CE" w:rsidRPr="00F655CE">
        <w:rPr>
          <w:rFonts w:ascii="Times New Roman" w:hAnsi="Times New Roman" w:cs="Times New Roman"/>
          <w:b/>
          <w:sz w:val="24"/>
          <w:szCs w:val="24"/>
        </w:rPr>
        <w:t>Table 8: Day of Outstanding Accounts Rece</w:t>
      </w:r>
      <w:r w:rsidR="002B79DD">
        <w:rPr>
          <w:rFonts w:ascii="Times New Roman" w:hAnsi="Times New Roman" w:cs="Times New Roman"/>
          <w:b/>
          <w:sz w:val="24"/>
          <w:szCs w:val="24"/>
        </w:rPr>
        <w:t>i</w:t>
      </w:r>
      <w:r w:rsidR="00F655CE" w:rsidRPr="00F655CE">
        <w:rPr>
          <w:rFonts w:ascii="Times New Roman" w:hAnsi="Times New Roman" w:cs="Times New Roman"/>
          <w:b/>
          <w:sz w:val="24"/>
          <w:szCs w:val="24"/>
        </w:rPr>
        <w:t>vables 2012-2016</w:t>
      </w:r>
    </w:p>
    <w:tbl>
      <w:tblPr>
        <w:tblW w:w="5358" w:type="dxa"/>
        <w:tblInd w:w="918" w:type="dxa"/>
        <w:tblLook w:val="04A0"/>
      </w:tblPr>
      <w:tblGrid>
        <w:gridCol w:w="1080"/>
        <w:gridCol w:w="254"/>
        <w:gridCol w:w="1140"/>
        <w:gridCol w:w="1328"/>
        <w:gridCol w:w="158"/>
        <w:gridCol w:w="1398"/>
      </w:tblGrid>
      <w:tr w:rsidR="00C25992" w:rsidRPr="00B24334" w:rsidTr="00C25992">
        <w:trPr>
          <w:gridAfter w:val="2"/>
          <w:wAfter w:w="1556" w:type="dxa"/>
          <w:trHeight w:val="300"/>
        </w:trPr>
        <w:tc>
          <w:tcPr>
            <w:tcW w:w="1080" w:type="dxa"/>
            <w:tcBorders>
              <w:top w:val="nil"/>
              <w:left w:val="nil"/>
              <w:bottom w:val="nil"/>
              <w:right w:val="nil"/>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p>
        </w:tc>
        <w:tc>
          <w:tcPr>
            <w:tcW w:w="254" w:type="dxa"/>
            <w:tcBorders>
              <w:top w:val="nil"/>
              <w:left w:val="nil"/>
              <w:bottom w:val="nil"/>
              <w:right w:val="nil"/>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p>
        </w:tc>
        <w:tc>
          <w:tcPr>
            <w:tcW w:w="1328" w:type="dxa"/>
            <w:tcBorders>
              <w:top w:val="nil"/>
              <w:left w:val="nil"/>
              <w:bottom w:val="nil"/>
              <w:right w:val="nil"/>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p>
        </w:tc>
      </w:tr>
      <w:tr w:rsidR="00C25992" w:rsidRPr="00B24334" w:rsidTr="00C25992">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 </w:t>
            </w:r>
          </w:p>
        </w:tc>
        <w:tc>
          <w:tcPr>
            <w:tcW w:w="4278" w:type="dxa"/>
            <w:gridSpan w:val="5"/>
            <w:tcBorders>
              <w:top w:val="single" w:sz="4" w:space="0" w:color="auto"/>
              <w:bottom w:val="single" w:sz="4" w:space="0" w:color="auto"/>
              <w:right w:val="single" w:sz="4" w:space="0" w:color="auto"/>
            </w:tcBorders>
            <w:shd w:val="clear" w:color="auto" w:fill="auto"/>
          </w:tcPr>
          <w:p w:rsidR="00C25992" w:rsidRPr="00CD193E" w:rsidRDefault="00C25992" w:rsidP="004138AE">
            <w:pPr>
              <w:rPr>
                <w:b/>
              </w:rPr>
            </w:pPr>
            <w:r w:rsidRPr="00CD193E">
              <w:rPr>
                <w:b/>
              </w:rPr>
              <w:t>Days of  Outstanding Accounts Receivables</w:t>
            </w:r>
          </w:p>
        </w:tc>
      </w:tr>
      <w:tr w:rsidR="00C25992" w:rsidRPr="00B24334" w:rsidTr="00C25992">
        <w:trPr>
          <w:trHeight w:val="9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b/>
                <w:bCs/>
                <w:color w:val="000000"/>
              </w:rPr>
            </w:pPr>
            <w:r w:rsidRPr="00B24334">
              <w:rPr>
                <w:rFonts w:ascii="Calibri" w:eastAsia="Times New Roman" w:hAnsi="Calibri" w:cs="Times New Roman"/>
                <w:b/>
                <w:bCs/>
                <w:color w:val="000000"/>
              </w:rPr>
              <w:t>Years</w:t>
            </w:r>
          </w:p>
        </w:tc>
        <w:tc>
          <w:tcPr>
            <w:tcW w:w="1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b/>
                <w:bCs/>
                <w:color w:val="000000"/>
              </w:rPr>
            </w:pPr>
            <w:r w:rsidRPr="00B24334">
              <w:rPr>
                <w:rFonts w:ascii="Calibri" w:eastAsia="Times New Roman" w:hAnsi="Calibri" w:cs="Times New Roman"/>
                <w:b/>
                <w:bCs/>
                <w:color w:val="000000"/>
              </w:rPr>
              <w:t>DOMLEC</w:t>
            </w:r>
          </w:p>
        </w:tc>
        <w:tc>
          <w:tcPr>
            <w:tcW w:w="1486"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b/>
                <w:bCs/>
                <w:color w:val="000000"/>
              </w:rPr>
            </w:pPr>
            <w:r w:rsidRPr="00B24334">
              <w:rPr>
                <w:rFonts w:ascii="Calibri" w:eastAsia="Times New Roman" w:hAnsi="Calibri" w:cs="Times New Roman"/>
                <w:b/>
                <w:bCs/>
                <w:color w:val="000000"/>
              </w:rPr>
              <w:t>LUCELEC</w:t>
            </w:r>
          </w:p>
        </w:tc>
        <w:tc>
          <w:tcPr>
            <w:tcW w:w="1398" w:type="dxa"/>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b/>
                <w:bCs/>
                <w:color w:val="000000"/>
              </w:rPr>
            </w:pPr>
            <w:r w:rsidRPr="00B24334">
              <w:rPr>
                <w:rFonts w:ascii="Calibri" w:eastAsia="Times New Roman" w:hAnsi="Calibri" w:cs="Times New Roman"/>
                <w:b/>
                <w:bCs/>
                <w:color w:val="000000"/>
              </w:rPr>
              <w:t xml:space="preserve"> GRENLEC</w:t>
            </w:r>
          </w:p>
        </w:tc>
      </w:tr>
      <w:tr w:rsidR="00C25992" w:rsidRPr="00B24334" w:rsidTr="00C2599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 </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 </w:t>
            </w:r>
          </w:p>
        </w:tc>
        <w:tc>
          <w:tcPr>
            <w:tcW w:w="1398" w:type="dxa"/>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 </w:t>
            </w:r>
          </w:p>
        </w:tc>
      </w:tr>
      <w:tr w:rsidR="00C25992" w:rsidRPr="00B24334" w:rsidTr="00C2599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2012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50</w:t>
            </w:r>
          </w:p>
        </w:tc>
        <w:tc>
          <w:tcPr>
            <w:tcW w:w="1486"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58</w:t>
            </w:r>
          </w:p>
        </w:tc>
        <w:tc>
          <w:tcPr>
            <w:tcW w:w="1398" w:type="dxa"/>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64</w:t>
            </w:r>
          </w:p>
        </w:tc>
      </w:tr>
      <w:tr w:rsidR="00C25992" w:rsidRPr="00B24334" w:rsidTr="00C2599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2013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52</w:t>
            </w:r>
          </w:p>
        </w:tc>
        <w:tc>
          <w:tcPr>
            <w:tcW w:w="1486"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64</w:t>
            </w:r>
          </w:p>
        </w:tc>
        <w:tc>
          <w:tcPr>
            <w:tcW w:w="1398" w:type="dxa"/>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65</w:t>
            </w:r>
          </w:p>
        </w:tc>
      </w:tr>
      <w:tr w:rsidR="00C25992" w:rsidRPr="00B24334" w:rsidTr="00C2599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2014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51</w:t>
            </w:r>
          </w:p>
        </w:tc>
        <w:tc>
          <w:tcPr>
            <w:tcW w:w="1486"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46</w:t>
            </w:r>
          </w:p>
        </w:tc>
        <w:tc>
          <w:tcPr>
            <w:tcW w:w="1398" w:type="dxa"/>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56</w:t>
            </w:r>
          </w:p>
        </w:tc>
      </w:tr>
      <w:tr w:rsidR="00C25992" w:rsidRPr="00B24334" w:rsidTr="00C2599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2015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46</w:t>
            </w:r>
          </w:p>
        </w:tc>
        <w:tc>
          <w:tcPr>
            <w:tcW w:w="1486"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65</w:t>
            </w:r>
          </w:p>
        </w:tc>
        <w:tc>
          <w:tcPr>
            <w:tcW w:w="1398" w:type="dxa"/>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42</w:t>
            </w:r>
          </w:p>
        </w:tc>
      </w:tr>
      <w:tr w:rsidR="00C25992" w:rsidRPr="00B24334" w:rsidTr="00C2599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2016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sidRPr="00B24334">
              <w:rPr>
                <w:rFonts w:ascii="Calibri" w:eastAsia="Times New Roman" w:hAnsi="Calibri" w:cs="Times New Roman"/>
                <w:color w:val="000000"/>
              </w:rPr>
              <w:t>40</w:t>
            </w:r>
          </w:p>
        </w:tc>
        <w:tc>
          <w:tcPr>
            <w:tcW w:w="1486" w:type="dxa"/>
            <w:gridSpan w:val="2"/>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398" w:type="dxa"/>
            <w:tcBorders>
              <w:top w:val="nil"/>
              <w:left w:val="nil"/>
              <w:bottom w:val="single" w:sz="4" w:space="0" w:color="auto"/>
              <w:right w:val="single" w:sz="4" w:space="0" w:color="auto"/>
            </w:tcBorders>
            <w:shd w:val="clear" w:color="auto" w:fill="auto"/>
            <w:noWrap/>
            <w:vAlign w:val="bottom"/>
            <w:hideMark/>
          </w:tcPr>
          <w:p w:rsidR="00C25992" w:rsidRPr="00B24334" w:rsidRDefault="00C25992" w:rsidP="004138AE">
            <w:pPr>
              <w:rPr>
                <w:rFonts w:ascii="Calibri" w:eastAsia="Times New Roman" w:hAnsi="Calibri" w:cs="Times New Roman"/>
                <w:color w:val="000000"/>
              </w:rPr>
            </w:pPr>
            <w:r>
              <w:rPr>
                <w:rFonts w:ascii="Calibri" w:eastAsia="Times New Roman" w:hAnsi="Calibri" w:cs="Times New Roman"/>
                <w:color w:val="000000"/>
              </w:rPr>
              <w:t>NA</w:t>
            </w:r>
          </w:p>
        </w:tc>
      </w:tr>
    </w:tbl>
    <w:p w:rsidR="00F655CE" w:rsidRDefault="00F655CE" w:rsidP="004138AE">
      <w:pPr>
        <w:pStyle w:val="NoSpacing"/>
        <w:jc w:val="both"/>
        <w:rPr>
          <w:rFonts w:ascii="Times New Roman" w:hAnsi="Times New Roman" w:cs="Times New Roman"/>
          <w:sz w:val="24"/>
          <w:szCs w:val="24"/>
        </w:rPr>
      </w:pPr>
    </w:p>
    <w:p w:rsidR="004138AE" w:rsidRDefault="004138AE" w:rsidP="004138AE">
      <w:pPr>
        <w:pStyle w:val="NoSpacing"/>
        <w:jc w:val="both"/>
        <w:rPr>
          <w:rFonts w:ascii="Times New Roman" w:hAnsi="Times New Roman" w:cs="Times New Roman"/>
          <w:sz w:val="24"/>
          <w:szCs w:val="24"/>
        </w:rPr>
      </w:pPr>
    </w:p>
    <w:p w:rsidR="00A0333D" w:rsidRDefault="00D823FE" w:rsidP="004138AE">
      <w:pPr>
        <w:pStyle w:val="NoSpacing"/>
        <w:jc w:val="both"/>
        <w:rPr>
          <w:rFonts w:ascii="Times New Roman" w:hAnsi="Times New Roman" w:cs="Times New Roman"/>
          <w:sz w:val="24"/>
          <w:szCs w:val="24"/>
        </w:rPr>
      </w:pPr>
      <w:r>
        <w:rPr>
          <w:rFonts w:ascii="Times New Roman" w:hAnsi="Times New Roman" w:cs="Times New Roman"/>
          <w:sz w:val="24"/>
          <w:szCs w:val="24"/>
        </w:rPr>
        <w:t>As can</w:t>
      </w:r>
      <w:r w:rsidR="00376A60">
        <w:rPr>
          <w:rFonts w:ascii="Times New Roman" w:hAnsi="Times New Roman" w:cs="Times New Roman"/>
          <w:sz w:val="24"/>
          <w:szCs w:val="24"/>
        </w:rPr>
        <w:t xml:space="preserve"> be </w:t>
      </w:r>
      <w:r w:rsidR="00AF16C8">
        <w:rPr>
          <w:rFonts w:ascii="Times New Roman" w:hAnsi="Times New Roman" w:cs="Times New Roman"/>
          <w:sz w:val="24"/>
          <w:szCs w:val="24"/>
        </w:rPr>
        <w:t xml:space="preserve">seen </w:t>
      </w:r>
      <w:r w:rsidR="00805FF5">
        <w:rPr>
          <w:rFonts w:ascii="Times New Roman" w:hAnsi="Times New Roman" w:cs="Times New Roman"/>
          <w:sz w:val="24"/>
          <w:szCs w:val="24"/>
        </w:rPr>
        <w:t>from table</w:t>
      </w:r>
      <w:r w:rsidR="00B24334">
        <w:rPr>
          <w:rFonts w:ascii="Times New Roman" w:hAnsi="Times New Roman" w:cs="Times New Roman"/>
          <w:sz w:val="24"/>
          <w:szCs w:val="24"/>
        </w:rPr>
        <w:t xml:space="preserve"> 8</w:t>
      </w:r>
      <w:r w:rsidR="00F655CE">
        <w:rPr>
          <w:rFonts w:ascii="Times New Roman" w:hAnsi="Times New Roman" w:cs="Times New Roman"/>
          <w:sz w:val="24"/>
          <w:szCs w:val="24"/>
        </w:rPr>
        <w:t xml:space="preserve">, </w:t>
      </w:r>
      <w:r w:rsidR="00F14107">
        <w:rPr>
          <w:rFonts w:ascii="Times New Roman" w:hAnsi="Times New Roman" w:cs="Times New Roman"/>
          <w:sz w:val="24"/>
          <w:szCs w:val="24"/>
        </w:rPr>
        <w:t>DOMLEC</w:t>
      </w:r>
      <w:r w:rsidR="00F655CE">
        <w:rPr>
          <w:rFonts w:ascii="Times New Roman" w:hAnsi="Times New Roman" w:cs="Times New Roman"/>
          <w:sz w:val="24"/>
          <w:szCs w:val="24"/>
        </w:rPr>
        <w:t xml:space="preserve">’s </w:t>
      </w:r>
      <w:r w:rsidR="00376A60">
        <w:rPr>
          <w:rFonts w:ascii="Times New Roman" w:hAnsi="Times New Roman" w:cs="Times New Roman"/>
          <w:sz w:val="24"/>
          <w:szCs w:val="24"/>
        </w:rPr>
        <w:t xml:space="preserve">number of </w:t>
      </w:r>
      <w:r w:rsidR="00F655CE">
        <w:rPr>
          <w:rFonts w:ascii="Times New Roman" w:hAnsi="Times New Roman" w:cs="Times New Roman"/>
          <w:sz w:val="24"/>
          <w:szCs w:val="24"/>
        </w:rPr>
        <w:t>days to collect outstanding acc</w:t>
      </w:r>
      <w:r>
        <w:rPr>
          <w:rFonts w:ascii="Times New Roman" w:hAnsi="Times New Roman" w:cs="Times New Roman"/>
          <w:sz w:val="24"/>
          <w:szCs w:val="24"/>
        </w:rPr>
        <w:t xml:space="preserve">ounts receivables declined steadily </w:t>
      </w:r>
      <w:r w:rsidR="00F655CE">
        <w:rPr>
          <w:rFonts w:ascii="Times New Roman" w:hAnsi="Times New Roman" w:cs="Times New Roman"/>
          <w:sz w:val="24"/>
          <w:szCs w:val="24"/>
        </w:rPr>
        <w:t xml:space="preserve">from 2012 to 2016.  The most </w:t>
      </w:r>
      <w:r w:rsidR="00AA5C1D">
        <w:rPr>
          <w:rFonts w:ascii="Times New Roman" w:hAnsi="Times New Roman" w:cs="Times New Roman"/>
          <w:sz w:val="24"/>
          <w:szCs w:val="24"/>
        </w:rPr>
        <w:t>significant reduction</w:t>
      </w:r>
      <w:r w:rsidR="00F655CE">
        <w:rPr>
          <w:rFonts w:ascii="Times New Roman" w:hAnsi="Times New Roman" w:cs="Times New Roman"/>
          <w:sz w:val="24"/>
          <w:szCs w:val="24"/>
        </w:rPr>
        <w:t xml:space="preserve"> occurred from 2015 to 2016 when the</w:t>
      </w:r>
      <w:r>
        <w:rPr>
          <w:rFonts w:ascii="Times New Roman" w:hAnsi="Times New Roman" w:cs="Times New Roman"/>
          <w:sz w:val="24"/>
          <w:szCs w:val="24"/>
        </w:rPr>
        <w:t xml:space="preserve"> number of days was recorded</w:t>
      </w:r>
      <w:r w:rsidR="00F655CE">
        <w:rPr>
          <w:rFonts w:ascii="Times New Roman" w:hAnsi="Times New Roman" w:cs="Times New Roman"/>
          <w:sz w:val="24"/>
          <w:szCs w:val="24"/>
        </w:rPr>
        <w:t xml:space="preserve"> at 46 and 40 days respectively.  This </w:t>
      </w:r>
      <w:r w:rsidR="00AA5C1D">
        <w:rPr>
          <w:rFonts w:ascii="Times New Roman" w:hAnsi="Times New Roman" w:cs="Times New Roman"/>
          <w:sz w:val="24"/>
          <w:szCs w:val="24"/>
        </w:rPr>
        <w:t xml:space="preserve">was influenced by the growth in </w:t>
      </w:r>
      <w:r w:rsidR="00D60D2A">
        <w:rPr>
          <w:rFonts w:ascii="Times New Roman" w:hAnsi="Times New Roman" w:cs="Times New Roman"/>
          <w:sz w:val="24"/>
          <w:szCs w:val="24"/>
        </w:rPr>
        <w:t>the number</w:t>
      </w:r>
      <w:r w:rsidR="00AA5C1D">
        <w:rPr>
          <w:rFonts w:ascii="Times New Roman" w:hAnsi="Times New Roman" w:cs="Times New Roman"/>
          <w:sz w:val="24"/>
          <w:szCs w:val="24"/>
        </w:rPr>
        <w:t xml:space="preserve"> of </w:t>
      </w:r>
      <w:r w:rsidR="004254F5">
        <w:rPr>
          <w:rFonts w:ascii="Times New Roman" w:hAnsi="Times New Roman" w:cs="Times New Roman"/>
          <w:sz w:val="24"/>
          <w:szCs w:val="24"/>
        </w:rPr>
        <w:t xml:space="preserve">prepaid </w:t>
      </w:r>
      <w:r w:rsidR="00D60D2A">
        <w:rPr>
          <w:rFonts w:ascii="Times New Roman" w:hAnsi="Times New Roman" w:cs="Times New Roman"/>
          <w:sz w:val="24"/>
          <w:szCs w:val="24"/>
        </w:rPr>
        <w:t>customers following</w:t>
      </w:r>
      <w:r w:rsidR="00AA5C1D">
        <w:rPr>
          <w:rFonts w:ascii="Times New Roman" w:hAnsi="Times New Roman" w:cs="Times New Roman"/>
          <w:sz w:val="24"/>
          <w:szCs w:val="24"/>
        </w:rPr>
        <w:t xml:space="preserve"> the</w:t>
      </w:r>
      <w:r w:rsidR="004254F5">
        <w:rPr>
          <w:rFonts w:ascii="Times New Roman" w:hAnsi="Times New Roman" w:cs="Times New Roman"/>
          <w:sz w:val="24"/>
          <w:szCs w:val="24"/>
        </w:rPr>
        <w:t xml:space="preserve"> installation of AMI</w:t>
      </w:r>
      <w:r w:rsidR="00AA5C1D">
        <w:rPr>
          <w:rFonts w:ascii="Times New Roman" w:hAnsi="Times New Roman" w:cs="Times New Roman"/>
          <w:sz w:val="24"/>
          <w:szCs w:val="24"/>
        </w:rPr>
        <w:t xml:space="preserve"> from </w:t>
      </w:r>
      <w:r w:rsidR="00393A15">
        <w:rPr>
          <w:rFonts w:ascii="Times New Roman" w:hAnsi="Times New Roman" w:cs="Times New Roman"/>
          <w:sz w:val="24"/>
          <w:szCs w:val="24"/>
        </w:rPr>
        <w:t>2013</w:t>
      </w:r>
      <w:r w:rsidR="00AA5C1D">
        <w:rPr>
          <w:rFonts w:ascii="Times New Roman" w:hAnsi="Times New Roman" w:cs="Times New Roman"/>
          <w:sz w:val="24"/>
          <w:szCs w:val="24"/>
        </w:rPr>
        <w:t>. Through th</w:t>
      </w:r>
      <w:r w:rsidR="00D60D2A">
        <w:rPr>
          <w:rFonts w:ascii="Times New Roman" w:hAnsi="Times New Roman" w:cs="Times New Roman"/>
          <w:sz w:val="24"/>
          <w:szCs w:val="24"/>
        </w:rPr>
        <w:t>is</w:t>
      </w:r>
      <w:r w:rsidR="00AA5C1D">
        <w:rPr>
          <w:rFonts w:ascii="Times New Roman" w:hAnsi="Times New Roman" w:cs="Times New Roman"/>
          <w:sz w:val="24"/>
          <w:szCs w:val="24"/>
        </w:rPr>
        <w:t xml:space="preserve"> </w:t>
      </w:r>
      <w:r w:rsidR="00D60D2A">
        <w:rPr>
          <w:rFonts w:ascii="Times New Roman" w:hAnsi="Times New Roman" w:cs="Times New Roman"/>
          <w:sz w:val="24"/>
          <w:szCs w:val="24"/>
        </w:rPr>
        <w:t>initiative,</w:t>
      </w:r>
      <w:r w:rsidR="00AA5C1D">
        <w:rPr>
          <w:rFonts w:ascii="Times New Roman" w:hAnsi="Times New Roman" w:cs="Times New Roman"/>
          <w:sz w:val="24"/>
          <w:szCs w:val="24"/>
        </w:rPr>
        <w:t xml:space="preserve"> the </w:t>
      </w:r>
      <w:r w:rsidR="006604C1">
        <w:rPr>
          <w:rFonts w:ascii="Times New Roman" w:hAnsi="Times New Roman" w:cs="Times New Roman"/>
          <w:sz w:val="24"/>
          <w:szCs w:val="24"/>
        </w:rPr>
        <w:t>company</w:t>
      </w:r>
      <w:r w:rsidR="005150AE">
        <w:rPr>
          <w:rFonts w:ascii="Times New Roman" w:hAnsi="Times New Roman" w:cs="Times New Roman"/>
          <w:sz w:val="24"/>
          <w:szCs w:val="24"/>
        </w:rPr>
        <w:t>’s</w:t>
      </w:r>
      <w:r w:rsidR="006604C1">
        <w:rPr>
          <w:rFonts w:ascii="Times New Roman" w:hAnsi="Times New Roman" w:cs="Times New Roman"/>
          <w:sz w:val="24"/>
          <w:szCs w:val="24"/>
        </w:rPr>
        <w:t xml:space="preserve"> </w:t>
      </w:r>
      <w:r w:rsidR="00393A15">
        <w:rPr>
          <w:rFonts w:ascii="Times New Roman" w:hAnsi="Times New Roman" w:cs="Times New Roman"/>
          <w:sz w:val="24"/>
          <w:szCs w:val="24"/>
        </w:rPr>
        <w:t xml:space="preserve">cash </w:t>
      </w:r>
      <w:r w:rsidR="005150AE">
        <w:rPr>
          <w:rFonts w:ascii="Times New Roman" w:hAnsi="Times New Roman" w:cs="Times New Roman"/>
          <w:sz w:val="24"/>
          <w:szCs w:val="24"/>
        </w:rPr>
        <w:t>position improved.</w:t>
      </w:r>
      <w:r w:rsidR="008C0B58">
        <w:rPr>
          <w:rFonts w:ascii="Times New Roman" w:hAnsi="Times New Roman" w:cs="Times New Roman"/>
          <w:sz w:val="24"/>
          <w:szCs w:val="24"/>
        </w:rPr>
        <w:t xml:space="preserve"> </w:t>
      </w:r>
      <w:r w:rsidR="00E50DE6">
        <w:rPr>
          <w:rFonts w:ascii="Times New Roman" w:hAnsi="Times New Roman" w:cs="Times New Roman"/>
          <w:sz w:val="24"/>
          <w:szCs w:val="24"/>
        </w:rPr>
        <w:t xml:space="preserve">It was also noted that </w:t>
      </w:r>
      <w:r w:rsidR="005150AE">
        <w:rPr>
          <w:rFonts w:ascii="Times New Roman" w:hAnsi="Times New Roman" w:cs="Times New Roman"/>
          <w:sz w:val="24"/>
          <w:szCs w:val="24"/>
        </w:rPr>
        <w:t>the</w:t>
      </w:r>
      <w:r w:rsidR="004254F5">
        <w:rPr>
          <w:rFonts w:ascii="Times New Roman" w:hAnsi="Times New Roman" w:cs="Times New Roman"/>
          <w:sz w:val="24"/>
          <w:szCs w:val="24"/>
        </w:rPr>
        <w:t xml:space="preserve"> number of days to collect outstanding account </w:t>
      </w:r>
      <w:r w:rsidR="00D60D2A">
        <w:rPr>
          <w:rFonts w:ascii="Times New Roman" w:hAnsi="Times New Roman" w:cs="Times New Roman"/>
          <w:sz w:val="24"/>
          <w:szCs w:val="24"/>
        </w:rPr>
        <w:t>receivables</w:t>
      </w:r>
      <w:r w:rsidR="00082FC0">
        <w:rPr>
          <w:rFonts w:ascii="Times New Roman" w:hAnsi="Times New Roman" w:cs="Times New Roman"/>
          <w:sz w:val="24"/>
          <w:szCs w:val="24"/>
        </w:rPr>
        <w:t xml:space="preserve"> was </w:t>
      </w:r>
      <w:r w:rsidR="004254F5">
        <w:rPr>
          <w:rFonts w:ascii="Times New Roman" w:hAnsi="Times New Roman" w:cs="Times New Roman"/>
          <w:sz w:val="24"/>
          <w:szCs w:val="24"/>
        </w:rPr>
        <w:t>lo</w:t>
      </w:r>
      <w:r w:rsidR="008C0B58">
        <w:rPr>
          <w:rFonts w:ascii="Times New Roman" w:hAnsi="Times New Roman" w:cs="Times New Roman"/>
          <w:sz w:val="24"/>
          <w:szCs w:val="24"/>
        </w:rPr>
        <w:t xml:space="preserve">wer </w:t>
      </w:r>
      <w:r w:rsidR="005150AE">
        <w:rPr>
          <w:rFonts w:ascii="Times New Roman" w:hAnsi="Times New Roman" w:cs="Times New Roman"/>
          <w:sz w:val="24"/>
          <w:szCs w:val="24"/>
        </w:rPr>
        <w:t xml:space="preserve">for DOMLEC </w:t>
      </w:r>
      <w:r w:rsidR="008C0B58">
        <w:rPr>
          <w:rFonts w:ascii="Times New Roman" w:hAnsi="Times New Roman" w:cs="Times New Roman"/>
          <w:sz w:val="24"/>
          <w:szCs w:val="24"/>
        </w:rPr>
        <w:t xml:space="preserve">than </w:t>
      </w:r>
      <w:r w:rsidR="00E50DE6">
        <w:rPr>
          <w:rFonts w:ascii="Times New Roman" w:hAnsi="Times New Roman" w:cs="Times New Roman"/>
          <w:sz w:val="24"/>
          <w:szCs w:val="24"/>
        </w:rPr>
        <w:t xml:space="preserve">that of </w:t>
      </w:r>
      <w:r w:rsidR="008C0B58">
        <w:rPr>
          <w:rFonts w:ascii="Times New Roman" w:hAnsi="Times New Roman" w:cs="Times New Roman"/>
          <w:sz w:val="24"/>
          <w:szCs w:val="24"/>
        </w:rPr>
        <w:t>GRENLEC and LUCELEC from 2012 to 2014 but higher</w:t>
      </w:r>
      <w:r w:rsidR="00E50DE6">
        <w:rPr>
          <w:rFonts w:ascii="Times New Roman" w:hAnsi="Times New Roman" w:cs="Times New Roman"/>
          <w:sz w:val="24"/>
          <w:szCs w:val="24"/>
        </w:rPr>
        <w:t xml:space="preserve"> when compared to</w:t>
      </w:r>
      <w:r w:rsidR="008C0B58">
        <w:rPr>
          <w:rFonts w:ascii="Times New Roman" w:hAnsi="Times New Roman" w:cs="Times New Roman"/>
          <w:sz w:val="24"/>
          <w:szCs w:val="24"/>
        </w:rPr>
        <w:t xml:space="preserve"> GRENLEC in 2015.</w:t>
      </w:r>
    </w:p>
    <w:p w:rsidR="00AA5C1D" w:rsidRDefault="00AA5C1D" w:rsidP="004138AE">
      <w:pPr>
        <w:pStyle w:val="NoSpacing"/>
        <w:jc w:val="both"/>
        <w:outlineLvl w:val="1"/>
        <w:rPr>
          <w:rFonts w:ascii="Times New Roman" w:hAnsi="Times New Roman" w:cs="Times New Roman"/>
          <w:b/>
          <w:sz w:val="24"/>
          <w:szCs w:val="24"/>
        </w:rPr>
      </w:pPr>
      <w:bookmarkStart w:id="18" w:name="_Toc485128747"/>
    </w:p>
    <w:p w:rsidR="004E7D0D" w:rsidRDefault="00CD743D" w:rsidP="004138AE">
      <w:pPr>
        <w:pStyle w:val="NoSpacing"/>
        <w:jc w:val="both"/>
        <w:outlineLvl w:val="1"/>
        <w:rPr>
          <w:rFonts w:ascii="Times New Roman" w:hAnsi="Times New Roman" w:cs="Times New Roman"/>
          <w:b/>
          <w:sz w:val="24"/>
          <w:szCs w:val="24"/>
          <w:u w:val="single"/>
        </w:rPr>
      </w:pPr>
      <w:r>
        <w:rPr>
          <w:rFonts w:ascii="Times New Roman" w:hAnsi="Times New Roman" w:cs="Times New Roman"/>
          <w:b/>
          <w:sz w:val="24"/>
          <w:szCs w:val="24"/>
        </w:rPr>
        <w:t>3</w:t>
      </w:r>
      <w:r w:rsidR="000B28AC">
        <w:rPr>
          <w:rFonts w:ascii="Times New Roman" w:hAnsi="Times New Roman" w:cs="Times New Roman"/>
          <w:b/>
          <w:sz w:val="24"/>
          <w:szCs w:val="24"/>
        </w:rPr>
        <w:t xml:space="preserve">. </w:t>
      </w:r>
      <w:r w:rsidR="002B4977" w:rsidRPr="00D74602">
        <w:rPr>
          <w:rFonts w:ascii="Times New Roman" w:hAnsi="Times New Roman" w:cs="Times New Roman"/>
          <w:b/>
          <w:sz w:val="24"/>
          <w:szCs w:val="24"/>
        </w:rPr>
        <w:t xml:space="preserve"> </w:t>
      </w:r>
      <w:r w:rsidR="004E7D0D" w:rsidRPr="00C05062">
        <w:rPr>
          <w:rFonts w:ascii="Times New Roman" w:hAnsi="Times New Roman" w:cs="Times New Roman"/>
          <w:b/>
          <w:sz w:val="24"/>
          <w:szCs w:val="24"/>
          <w:u w:val="single"/>
        </w:rPr>
        <w:t>ECONOMIC</w:t>
      </w:r>
      <w:r w:rsidR="009052B5" w:rsidRPr="00C05062">
        <w:rPr>
          <w:rFonts w:ascii="Times New Roman" w:hAnsi="Times New Roman" w:cs="Times New Roman"/>
          <w:b/>
          <w:sz w:val="24"/>
          <w:szCs w:val="24"/>
          <w:u w:val="single"/>
        </w:rPr>
        <w:t xml:space="preserve"> </w:t>
      </w:r>
      <w:bookmarkEnd w:id="18"/>
      <w:r w:rsidR="00D60D2A">
        <w:rPr>
          <w:rFonts w:ascii="Times New Roman" w:hAnsi="Times New Roman" w:cs="Times New Roman"/>
          <w:b/>
          <w:sz w:val="24"/>
          <w:szCs w:val="24"/>
          <w:u w:val="single"/>
        </w:rPr>
        <w:t>INDICATORS</w:t>
      </w:r>
    </w:p>
    <w:p w:rsidR="00D87555" w:rsidRDefault="00D87555" w:rsidP="004138AE">
      <w:pPr>
        <w:pStyle w:val="NoSpacing"/>
        <w:jc w:val="both"/>
        <w:rPr>
          <w:rFonts w:ascii="Times New Roman" w:hAnsi="Times New Roman" w:cs="Times New Roman"/>
          <w:b/>
          <w:sz w:val="24"/>
          <w:szCs w:val="24"/>
          <w:u w:val="single"/>
        </w:rPr>
      </w:pPr>
    </w:p>
    <w:p w:rsidR="00D823FE" w:rsidRDefault="00D823FE"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540554">
        <w:rPr>
          <w:rFonts w:ascii="Times New Roman" w:hAnsi="Times New Roman" w:cs="Times New Roman"/>
          <w:sz w:val="24"/>
          <w:szCs w:val="24"/>
        </w:rPr>
        <w:t>indicators</w:t>
      </w:r>
      <w:r w:rsidR="009B39EE">
        <w:rPr>
          <w:rFonts w:ascii="Times New Roman" w:hAnsi="Times New Roman" w:cs="Times New Roman"/>
          <w:sz w:val="24"/>
          <w:szCs w:val="24"/>
        </w:rPr>
        <w:t xml:space="preserve"> presented in this r</w:t>
      </w:r>
      <w:r w:rsidR="002209F5">
        <w:rPr>
          <w:rFonts w:ascii="Times New Roman" w:hAnsi="Times New Roman" w:cs="Times New Roman"/>
          <w:sz w:val="24"/>
          <w:szCs w:val="24"/>
        </w:rPr>
        <w:t>eport</w:t>
      </w:r>
      <w:r w:rsidR="00540554">
        <w:rPr>
          <w:rFonts w:ascii="Times New Roman" w:hAnsi="Times New Roman" w:cs="Times New Roman"/>
          <w:sz w:val="24"/>
          <w:szCs w:val="24"/>
        </w:rPr>
        <w:t xml:space="preserve"> include sa</w:t>
      </w:r>
      <w:r w:rsidR="008F1B0B">
        <w:rPr>
          <w:rFonts w:ascii="Times New Roman" w:hAnsi="Times New Roman" w:cs="Times New Roman"/>
          <w:sz w:val="24"/>
          <w:szCs w:val="24"/>
        </w:rPr>
        <w:t>les per employee</w:t>
      </w:r>
      <w:r w:rsidR="00540554">
        <w:rPr>
          <w:rFonts w:ascii="Times New Roman" w:hAnsi="Times New Roman" w:cs="Times New Roman"/>
          <w:sz w:val="24"/>
          <w:szCs w:val="24"/>
        </w:rPr>
        <w:t>, customers per</w:t>
      </w:r>
      <w:r w:rsidR="008F1B0B">
        <w:rPr>
          <w:rFonts w:ascii="Times New Roman" w:hAnsi="Times New Roman" w:cs="Times New Roman"/>
          <w:sz w:val="24"/>
          <w:szCs w:val="24"/>
        </w:rPr>
        <w:t xml:space="preserve"> employee and consumption per capita.</w:t>
      </w:r>
      <w:r w:rsidR="00540554">
        <w:rPr>
          <w:rFonts w:ascii="Times New Roman" w:hAnsi="Times New Roman" w:cs="Times New Roman"/>
          <w:sz w:val="24"/>
          <w:szCs w:val="24"/>
        </w:rPr>
        <w:t xml:space="preserve">  </w:t>
      </w:r>
    </w:p>
    <w:p w:rsidR="00D823FE" w:rsidRDefault="00D823FE" w:rsidP="004138AE">
      <w:pPr>
        <w:pStyle w:val="NoSpacing"/>
        <w:jc w:val="both"/>
        <w:rPr>
          <w:rFonts w:ascii="Times New Roman" w:hAnsi="Times New Roman" w:cs="Times New Roman"/>
          <w:sz w:val="24"/>
          <w:szCs w:val="24"/>
        </w:rPr>
      </w:pPr>
    </w:p>
    <w:p w:rsidR="004E7D0D" w:rsidRDefault="00B1004C" w:rsidP="004138AE">
      <w:pPr>
        <w:pStyle w:val="NoSpacing"/>
        <w:jc w:val="both"/>
        <w:rPr>
          <w:rFonts w:ascii="Times New Roman" w:hAnsi="Times New Roman" w:cs="Times New Roman"/>
          <w:b/>
          <w:sz w:val="24"/>
          <w:szCs w:val="24"/>
        </w:rPr>
      </w:pPr>
      <w:bookmarkStart w:id="19" w:name="_Toc485128748"/>
      <w:r>
        <w:rPr>
          <w:rFonts w:ascii="Times New Roman" w:hAnsi="Times New Roman" w:cs="Times New Roman"/>
          <w:b/>
          <w:sz w:val="24"/>
          <w:szCs w:val="24"/>
        </w:rPr>
        <w:t xml:space="preserve">Energy </w:t>
      </w:r>
      <w:r w:rsidR="004E7D0D" w:rsidRPr="00AA681E">
        <w:rPr>
          <w:rFonts w:ascii="Times New Roman" w:hAnsi="Times New Roman" w:cs="Times New Roman"/>
          <w:b/>
          <w:sz w:val="24"/>
          <w:szCs w:val="24"/>
        </w:rPr>
        <w:t xml:space="preserve">Sales per Employee </w:t>
      </w:r>
      <w:r w:rsidR="00452AD2">
        <w:rPr>
          <w:rFonts w:ascii="Times New Roman" w:hAnsi="Times New Roman" w:cs="Times New Roman"/>
          <w:b/>
          <w:sz w:val="24"/>
          <w:szCs w:val="24"/>
        </w:rPr>
        <w:t>(kWh)</w:t>
      </w:r>
      <w:bookmarkEnd w:id="19"/>
    </w:p>
    <w:p w:rsidR="001B5179" w:rsidRDefault="001B5179" w:rsidP="004138AE">
      <w:pPr>
        <w:pStyle w:val="NoSpacing"/>
        <w:jc w:val="both"/>
        <w:rPr>
          <w:rFonts w:ascii="Times New Roman" w:hAnsi="Times New Roman" w:cs="Times New Roman"/>
          <w:b/>
          <w:sz w:val="24"/>
          <w:szCs w:val="24"/>
        </w:rPr>
      </w:pPr>
    </w:p>
    <w:p w:rsidR="001B5179" w:rsidRDefault="002B79DD" w:rsidP="004138AE">
      <w:pPr>
        <w:pStyle w:val="NoSpacing"/>
        <w:jc w:val="both"/>
        <w:rPr>
          <w:rFonts w:ascii="Times New Roman" w:hAnsi="Times New Roman" w:cs="Times New Roman"/>
          <w:sz w:val="24"/>
          <w:szCs w:val="24"/>
        </w:rPr>
      </w:pPr>
      <w:r>
        <w:rPr>
          <w:rFonts w:ascii="Times New Roman" w:hAnsi="Times New Roman" w:cs="Times New Roman"/>
          <w:sz w:val="24"/>
          <w:szCs w:val="24"/>
        </w:rPr>
        <w:t>This indicator</w:t>
      </w:r>
      <w:r w:rsidR="00465CAC">
        <w:rPr>
          <w:rFonts w:ascii="Times New Roman" w:hAnsi="Times New Roman" w:cs="Times New Roman"/>
          <w:sz w:val="24"/>
          <w:szCs w:val="24"/>
        </w:rPr>
        <w:t xml:space="preserve"> measure</w:t>
      </w:r>
      <w:r>
        <w:rPr>
          <w:rFonts w:ascii="Times New Roman" w:hAnsi="Times New Roman" w:cs="Times New Roman"/>
          <w:sz w:val="24"/>
          <w:szCs w:val="24"/>
        </w:rPr>
        <w:t>s</w:t>
      </w:r>
      <w:r w:rsidR="00465CAC">
        <w:rPr>
          <w:rFonts w:ascii="Times New Roman" w:hAnsi="Times New Roman" w:cs="Times New Roman"/>
          <w:sz w:val="24"/>
          <w:szCs w:val="24"/>
        </w:rPr>
        <w:t xml:space="preserve"> the</w:t>
      </w:r>
      <w:r w:rsidR="00662055">
        <w:rPr>
          <w:rFonts w:ascii="Times New Roman" w:hAnsi="Times New Roman" w:cs="Times New Roman"/>
          <w:sz w:val="24"/>
          <w:szCs w:val="24"/>
        </w:rPr>
        <w:t xml:space="preserve"> labour productivity </w:t>
      </w:r>
      <w:r>
        <w:rPr>
          <w:rFonts w:ascii="Times New Roman" w:hAnsi="Times New Roman" w:cs="Times New Roman"/>
          <w:sz w:val="24"/>
          <w:szCs w:val="24"/>
        </w:rPr>
        <w:t>of employees. In essence,</w:t>
      </w:r>
      <w:r w:rsidR="00662055">
        <w:rPr>
          <w:rFonts w:ascii="Times New Roman" w:hAnsi="Times New Roman" w:cs="Times New Roman"/>
          <w:sz w:val="24"/>
          <w:szCs w:val="24"/>
        </w:rPr>
        <w:t xml:space="preserve"> </w:t>
      </w:r>
      <w:r w:rsidR="002F3833">
        <w:rPr>
          <w:rFonts w:ascii="Times New Roman" w:hAnsi="Times New Roman" w:cs="Times New Roman"/>
          <w:sz w:val="24"/>
          <w:szCs w:val="24"/>
        </w:rPr>
        <w:t>an increase in</w:t>
      </w:r>
      <w:r w:rsidR="00FE4602">
        <w:rPr>
          <w:rFonts w:ascii="Times New Roman" w:hAnsi="Times New Roman" w:cs="Times New Roman"/>
          <w:sz w:val="24"/>
          <w:szCs w:val="24"/>
        </w:rPr>
        <w:t xml:space="preserve"> </w:t>
      </w:r>
      <w:r w:rsidR="00645744">
        <w:rPr>
          <w:rFonts w:ascii="Times New Roman" w:hAnsi="Times New Roman" w:cs="Times New Roman"/>
          <w:sz w:val="24"/>
          <w:szCs w:val="24"/>
        </w:rPr>
        <w:t>sales</w:t>
      </w:r>
      <w:r w:rsidR="00FE4602">
        <w:rPr>
          <w:rFonts w:ascii="Times New Roman" w:hAnsi="Times New Roman" w:cs="Times New Roman"/>
          <w:sz w:val="24"/>
          <w:szCs w:val="24"/>
        </w:rPr>
        <w:t xml:space="preserve"> </w:t>
      </w:r>
      <w:r w:rsidR="00645744">
        <w:rPr>
          <w:rFonts w:ascii="Times New Roman" w:hAnsi="Times New Roman" w:cs="Times New Roman"/>
          <w:sz w:val="24"/>
          <w:szCs w:val="24"/>
        </w:rPr>
        <w:t xml:space="preserve">per employee </w:t>
      </w:r>
      <w:r w:rsidR="00FE4602">
        <w:rPr>
          <w:rFonts w:ascii="Times New Roman" w:hAnsi="Times New Roman" w:cs="Times New Roman"/>
          <w:sz w:val="24"/>
          <w:szCs w:val="24"/>
        </w:rPr>
        <w:t xml:space="preserve">is evidence that workers are being utilized more effectively to generate </w:t>
      </w:r>
      <w:r w:rsidR="00B1004C">
        <w:rPr>
          <w:rFonts w:ascii="Times New Roman" w:hAnsi="Times New Roman" w:cs="Times New Roman"/>
          <w:sz w:val="24"/>
          <w:szCs w:val="24"/>
        </w:rPr>
        <w:t xml:space="preserve">revenue. </w:t>
      </w:r>
      <w:r w:rsidR="001B5179">
        <w:rPr>
          <w:rFonts w:ascii="Times New Roman" w:hAnsi="Times New Roman" w:cs="Times New Roman"/>
          <w:sz w:val="24"/>
          <w:szCs w:val="24"/>
        </w:rPr>
        <w:t xml:space="preserve">The </w:t>
      </w:r>
      <w:r w:rsidR="00FE4602">
        <w:rPr>
          <w:rFonts w:ascii="Times New Roman" w:hAnsi="Times New Roman" w:cs="Times New Roman"/>
          <w:sz w:val="24"/>
          <w:szCs w:val="24"/>
        </w:rPr>
        <w:t>ratio</w:t>
      </w:r>
      <w:r w:rsidR="00D94C17">
        <w:rPr>
          <w:rFonts w:ascii="Times New Roman" w:hAnsi="Times New Roman" w:cs="Times New Roman"/>
          <w:sz w:val="24"/>
          <w:szCs w:val="24"/>
        </w:rPr>
        <w:t xml:space="preserve"> is calculated as:</w:t>
      </w:r>
    </w:p>
    <w:p w:rsidR="00D94C17" w:rsidRDefault="00D94C17" w:rsidP="004138AE">
      <w:pPr>
        <w:pStyle w:val="NoSpacing"/>
        <w:jc w:val="both"/>
        <w:rPr>
          <w:rFonts w:ascii="Times New Roman" w:hAnsi="Times New Roman" w:cs="Times New Roman"/>
          <w:sz w:val="24"/>
          <w:szCs w:val="24"/>
        </w:rPr>
      </w:pPr>
    </w:p>
    <w:p w:rsidR="00D94C17" w:rsidRDefault="00D94C17"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Sales per Employee (kWh) </w:t>
      </w:r>
      <w:r w:rsidR="00AA681E">
        <w:rPr>
          <w:rFonts w:ascii="Times New Roman" w:hAnsi="Times New Roman" w:cs="Times New Roman"/>
          <w:sz w:val="24"/>
          <w:szCs w:val="24"/>
        </w:rPr>
        <w:t>= Total</w:t>
      </w:r>
      <w:r>
        <w:rPr>
          <w:rFonts w:ascii="Times New Roman" w:hAnsi="Times New Roman" w:cs="Times New Roman"/>
          <w:sz w:val="24"/>
          <w:szCs w:val="24"/>
        </w:rPr>
        <w:t xml:space="preserve"> Electricity Sold in kWh/</w:t>
      </w:r>
      <w:r w:rsidR="00645744">
        <w:rPr>
          <w:rFonts w:ascii="Times New Roman" w:hAnsi="Times New Roman" w:cs="Times New Roman"/>
          <w:sz w:val="24"/>
          <w:szCs w:val="24"/>
        </w:rPr>
        <w:t xml:space="preserve">number of </w:t>
      </w:r>
      <w:r>
        <w:rPr>
          <w:rFonts w:ascii="Times New Roman" w:hAnsi="Times New Roman" w:cs="Times New Roman"/>
          <w:sz w:val="24"/>
          <w:szCs w:val="24"/>
        </w:rPr>
        <w:t>Full time Employees</w:t>
      </w:r>
    </w:p>
    <w:p w:rsidR="00A0333D" w:rsidRDefault="00A0333D" w:rsidP="004138AE">
      <w:pPr>
        <w:pStyle w:val="NoSpacing"/>
        <w:jc w:val="both"/>
        <w:rPr>
          <w:rFonts w:ascii="Times New Roman" w:hAnsi="Times New Roman" w:cs="Times New Roman"/>
          <w:sz w:val="24"/>
          <w:szCs w:val="24"/>
        </w:rPr>
      </w:pPr>
    </w:p>
    <w:p w:rsidR="00B04A87" w:rsidRDefault="00B04A87" w:rsidP="004138AE">
      <w:pPr>
        <w:pStyle w:val="NoSpacing"/>
        <w:jc w:val="both"/>
        <w:rPr>
          <w:rFonts w:ascii="Times New Roman" w:hAnsi="Times New Roman" w:cs="Times New Roman"/>
          <w:sz w:val="24"/>
          <w:szCs w:val="24"/>
        </w:rPr>
      </w:pPr>
    </w:p>
    <w:p w:rsidR="00B04A87" w:rsidRDefault="00B04A87" w:rsidP="004138AE">
      <w:pPr>
        <w:pStyle w:val="NoSpacing"/>
        <w:jc w:val="both"/>
        <w:rPr>
          <w:rFonts w:ascii="Times New Roman" w:hAnsi="Times New Roman" w:cs="Times New Roman"/>
          <w:sz w:val="24"/>
          <w:szCs w:val="24"/>
        </w:rPr>
      </w:pPr>
    </w:p>
    <w:p w:rsidR="00B04A87" w:rsidRDefault="00B04A87" w:rsidP="004138AE">
      <w:pPr>
        <w:pStyle w:val="NoSpacing"/>
        <w:jc w:val="both"/>
        <w:rPr>
          <w:rFonts w:ascii="Times New Roman" w:hAnsi="Times New Roman" w:cs="Times New Roman"/>
          <w:sz w:val="24"/>
          <w:szCs w:val="24"/>
        </w:rPr>
      </w:pPr>
    </w:p>
    <w:p w:rsidR="00B04A87" w:rsidRDefault="00B04A87" w:rsidP="004138AE">
      <w:pPr>
        <w:pStyle w:val="NoSpacing"/>
        <w:jc w:val="both"/>
        <w:rPr>
          <w:rFonts w:ascii="Times New Roman" w:hAnsi="Times New Roman" w:cs="Times New Roman"/>
          <w:sz w:val="24"/>
          <w:szCs w:val="24"/>
        </w:rPr>
      </w:pPr>
    </w:p>
    <w:p w:rsidR="00B04A87" w:rsidRDefault="00B04A87" w:rsidP="004138AE">
      <w:pPr>
        <w:pStyle w:val="NoSpacing"/>
        <w:jc w:val="both"/>
        <w:rPr>
          <w:rFonts w:ascii="Times New Roman" w:hAnsi="Times New Roman" w:cs="Times New Roman"/>
          <w:sz w:val="24"/>
          <w:szCs w:val="24"/>
        </w:rPr>
      </w:pPr>
    </w:p>
    <w:p w:rsidR="00B04A87" w:rsidRDefault="00B04A87" w:rsidP="004138AE">
      <w:pPr>
        <w:pStyle w:val="NoSpacing"/>
        <w:jc w:val="both"/>
        <w:rPr>
          <w:rFonts w:ascii="Times New Roman" w:hAnsi="Times New Roman" w:cs="Times New Roman"/>
          <w:sz w:val="24"/>
          <w:szCs w:val="24"/>
        </w:rPr>
      </w:pPr>
    </w:p>
    <w:p w:rsidR="00B04A87" w:rsidRDefault="00B04A87" w:rsidP="004138AE">
      <w:pPr>
        <w:pStyle w:val="NoSpacing"/>
        <w:jc w:val="both"/>
        <w:rPr>
          <w:rFonts w:ascii="Times New Roman" w:hAnsi="Times New Roman" w:cs="Times New Roman"/>
          <w:sz w:val="24"/>
          <w:szCs w:val="24"/>
        </w:rPr>
      </w:pPr>
    </w:p>
    <w:p w:rsidR="00082FC0" w:rsidRDefault="00082FC0" w:rsidP="004138AE">
      <w:pPr>
        <w:pStyle w:val="NoSpacing"/>
        <w:jc w:val="both"/>
        <w:rPr>
          <w:rFonts w:ascii="Times New Roman" w:hAnsi="Times New Roman" w:cs="Times New Roman"/>
          <w:sz w:val="24"/>
          <w:szCs w:val="24"/>
        </w:rPr>
      </w:pPr>
    </w:p>
    <w:p w:rsidR="00082FC0" w:rsidRDefault="00082FC0" w:rsidP="004138AE">
      <w:pPr>
        <w:pStyle w:val="NoSpacing"/>
        <w:jc w:val="both"/>
        <w:rPr>
          <w:rFonts w:ascii="Times New Roman" w:hAnsi="Times New Roman" w:cs="Times New Roman"/>
          <w:sz w:val="24"/>
          <w:szCs w:val="24"/>
        </w:rPr>
      </w:pPr>
    </w:p>
    <w:p w:rsidR="00B04A87" w:rsidRDefault="00B04A87" w:rsidP="004138AE">
      <w:pPr>
        <w:pStyle w:val="NoSpacing"/>
        <w:jc w:val="both"/>
        <w:rPr>
          <w:rFonts w:ascii="Times New Roman" w:hAnsi="Times New Roman" w:cs="Times New Roman"/>
          <w:sz w:val="24"/>
          <w:szCs w:val="24"/>
        </w:rPr>
      </w:pPr>
    </w:p>
    <w:p w:rsidR="00C25992" w:rsidRDefault="00C25992" w:rsidP="004138AE">
      <w:pPr>
        <w:pStyle w:val="NoSpacing"/>
        <w:jc w:val="both"/>
        <w:rPr>
          <w:rFonts w:ascii="Times New Roman" w:hAnsi="Times New Roman" w:cs="Times New Roman"/>
          <w:b/>
          <w:sz w:val="24"/>
          <w:szCs w:val="24"/>
        </w:rPr>
      </w:pPr>
    </w:p>
    <w:p w:rsidR="00B04A87" w:rsidRPr="00393A15" w:rsidRDefault="00C25992"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04A87" w:rsidRPr="00393A15">
        <w:rPr>
          <w:rFonts w:ascii="Times New Roman" w:hAnsi="Times New Roman" w:cs="Times New Roman"/>
          <w:b/>
          <w:sz w:val="24"/>
          <w:szCs w:val="24"/>
        </w:rPr>
        <w:t xml:space="preserve">Table 9: Sales </w:t>
      </w:r>
      <w:r w:rsidR="00645744">
        <w:rPr>
          <w:rFonts w:ascii="Times New Roman" w:hAnsi="Times New Roman" w:cs="Times New Roman"/>
          <w:b/>
          <w:sz w:val="24"/>
          <w:szCs w:val="24"/>
        </w:rPr>
        <w:t>per</w:t>
      </w:r>
      <w:r w:rsidR="00B04A87" w:rsidRPr="00393A15">
        <w:rPr>
          <w:rFonts w:ascii="Times New Roman" w:hAnsi="Times New Roman" w:cs="Times New Roman"/>
          <w:b/>
          <w:sz w:val="24"/>
          <w:szCs w:val="24"/>
        </w:rPr>
        <w:t xml:space="preserve"> Employee (kWh) 2012 to 2016</w:t>
      </w:r>
    </w:p>
    <w:p w:rsidR="00A0333D" w:rsidRDefault="00A0333D" w:rsidP="004138AE">
      <w:pPr>
        <w:pStyle w:val="NoSpacing"/>
        <w:jc w:val="both"/>
        <w:rPr>
          <w:rFonts w:ascii="Times New Roman" w:hAnsi="Times New Roman" w:cs="Times New Roman"/>
          <w:sz w:val="24"/>
          <w:szCs w:val="24"/>
        </w:rPr>
      </w:pPr>
    </w:p>
    <w:tbl>
      <w:tblPr>
        <w:tblW w:w="6660" w:type="dxa"/>
        <w:tblInd w:w="918" w:type="dxa"/>
        <w:tblLook w:val="04A0"/>
      </w:tblPr>
      <w:tblGrid>
        <w:gridCol w:w="1710"/>
        <w:gridCol w:w="1530"/>
        <w:gridCol w:w="1440"/>
        <w:gridCol w:w="1980"/>
      </w:tblGrid>
      <w:tr w:rsidR="00082FC0" w:rsidRPr="00A0333D" w:rsidTr="00F4012A">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b/>
                <w:bCs/>
                <w:color w:val="000000"/>
              </w:rPr>
            </w:pPr>
            <w:r w:rsidRPr="00A0333D">
              <w:rPr>
                <w:rFonts w:ascii="Calibri" w:eastAsia="Times New Roman" w:hAnsi="Calibri" w:cs="Times New Roman"/>
                <w:b/>
                <w:bCs/>
                <w:color w:val="000000"/>
              </w:rPr>
              <w:t> </w:t>
            </w:r>
          </w:p>
        </w:tc>
        <w:tc>
          <w:tcPr>
            <w:tcW w:w="4950" w:type="dxa"/>
            <w:gridSpan w:val="3"/>
            <w:tcBorders>
              <w:top w:val="single" w:sz="4" w:space="0" w:color="auto"/>
              <w:bottom w:val="single" w:sz="4" w:space="0" w:color="auto"/>
              <w:right w:val="single" w:sz="4" w:space="0" w:color="auto"/>
            </w:tcBorders>
            <w:shd w:val="clear" w:color="auto" w:fill="auto"/>
          </w:tcPr>
          <w:p w:rsidR="00082FC0" w:rsidRPr="00082FC0" w:rsidRDefault="00082FC0" w:rsidP="00645744">
            <w:pPr>
              <w:rPr>
                <w:b/>
              </w:rPr>
            </w:pPr>
            <w:r w:rsidRPr="00082FC0">
              <w:rPr>
                <w:b/>
              </w:rPr>
              <w:t xml:space="preserve">Sales </w:t>
            </w:r>
            <w:r w:rsidR="00645744">
              <w:rPr>
                <w:b/>
              </w:rPr>
              <w:t>per</w:t>
            </w:r>
            <w:r w:rsidRPr="00082FC0">
              <w:rPr>
                <w:b/>
              </w:rPr>
              <w:t xml:space="preserve"> Employee (kWh)</w:t>
            </w:r>
          </w:p>
        </w:tc>
      </w:tr>
      <w:tr w:rsidR="00082FC0" w:rsidRPr="00A0333D" w:rsidTr="00F4012A">
        <w:trPr>
          <w:trHeight w:val="9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b/>
                <w:bCs/>
                <w:color w:val="000000"/>
              </w:rPr>
            </w:pPr>
            <w:r w:rsidRPr="00A0333D">
              <w:rPr>
                <w:rFonts w:ascii="Calibri" w:eastAsia="Times New Roman" w:hAnsi="Calibri" w:cs="Times New Roman"/>
                <w:b/>
                <w:bCs/>
                <w:color w:val="000000"/>
              </w:rPr>
              <w:t>Years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b/>
                <w:bCs/>
                <w:color w:val="000000"/>
              </w:rPr>
            </w:pPr>
            <w:r w:rsidRPr="00A0333D">
              <w:rPr>
                <w:rFonts w:ascii="Calibri" w:eastAsia="Times New Roman" w:hAnsi="Calibri" w:cs="Times New Roman"/>
                <w:b/>
                <w:bCs/>
                <w:color w:val="000000"/>
              </w:rPr>
              <w:t>DOMLEC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b/>
                <w:bCs/>
                <w:color w:val="000000"/>
              </w:rPr>
            </w:pPr>
            <w:r w:rsidRPr="00A0333D">
              <w:rPr>
                <w:rFonts w:ascii="Calibri" w:eastAsia="Times New Roman" w:hAnsi="Calibri" w:cs="Times New Roman"/>
                <w:b/>
                <w:bCs/>
                <w:color w:val="000000"/>
              </w:rPr>
              <w:t>LUCELEC</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b/>
                <w:bCs/>
                <w:color w:val="000000"/>
              </w:rPr>
            </w:pPr>
            <w:r w:rsidRPr="00A0333D">
              <w:rPr>
                <w:rFonts w:ascii="Calibri" w:eastAsia="Times New Roman" w:hAnsi="Calibri" w:cs="Times New Roman"/>
                <w:b/>
                <w:bCs/>
                <w:color w:val="000000"/>
              </w:rPr>
              <w:t xml:space="preserve"> GRENLEC</w:t>
            </w:r>
          </w:p>
        </w:tc>
      </w:tr>
      <w:tr w:rsidR="00082FC0" w:rsidRPr="00A0333D" w:rsidTr="00F4012A">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 </w:t>
            </w:r>
          </w:p>
        </w:tc>
      </w:tr>
      <w:tr w:rsidR="00082FC0" w:rsidRPr="00A0333D" w:rsidTr="00F4012A">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2012</w:t>
            </w:r>
          </w:p>
        </w:tc>
        <w:tc>
          <w:tcPr>
            <w:tcW w:w="153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395</w:t>
            </w:r>
            <w:r w:rsidR="00E1234A">
              <w:rPr>
                <w:rFonts w:ascii="Calibri" w:eastAsia="Times New Roman" w:hAnsi="Calibri" w:cs="Times New Roman"/>
                <w:color w:val="000000"/>
              </w:rPr>
              <w:t>,</w:t>
            </w:r>
            <w:r w:rsidRPr="00A0333D">
              <w:rPr>
                <w:rFonts w:ascii="Calibri" w:eastAsia="Times New Roman" w:hAnsi="Calibri" w:cs="Times New Roman"/>
                <w:color w:val="000000"/>
              </w:rPr>
              <w:t>232</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A0333D" w:rsidRDefault="00E1234A" w:rsidP="004138AE">
            <w:pPr>
              <w:rPr>
                <w:rFonts w:ascii="Calibri" w:eastAsia="Times New Roman" w:hAnsi="Calibri" w:cs="Times New Roman"/>
                <w:color w:val="000000"/>
              </w:rPr>
            </w:pPr>
            <w:r>
              <w:rPr>
                <w:rFonts w:ascii="Calibri" w:eastAsia="Times New Roman" w:hAnsi="Calibri" w:cs="Times New Roman"/>
                <w:color w:val="000000"/>
              </w:rPr>
              <w:t>1,362,746</w:t>
            </w:r>
          </w:p>
        </w:tc>
        <w:tc>
          <w:tcPr>
            <w:tcW w:w="198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769</w:t>
            </w:r>
            <w:r w:rsidR="00645744">
              <w:rPr>
                <w:rFonts w:ascii="Calibri" w:eastAsia="Times New Roman" w:hAnsi="Calibri" w:cs="Times New Roman"/>
                <w:color w:val="000000"/>
              </w:rPr>
              <w:t>,</w:t>
            </w:r>
            <w:r w:rsidRPr="00A0333D">
              <w:rPr>
                <w:rFonts w:ascii="Calibri" w:eastAsia="Times New Roman" w:hAnsi="Calibri" w:cs="Times New Roman"/>
                <w:color w:val="000000"/>
              </w:rPr>
              <w:t>102</w:t>
            </w:r>
          </w:p>
        </w:tc>
      </w:tr>
      <w:tr w:rsidR="00082FC0" w:rsidRPr="00A0333D" w:rsidTr="00F4012A">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397</w:t>
            </w:r>
            <w:r w:rsidR="00E1234A">
              <w:rPr>
                <w:rFonts w:ascii="Calibri" w:eastAsia="Times New Roman" w:hAnsi="Calibri" w:cs="Times New Roman"/>
                <w:color w:val="000000"/>
              </w:rPr>
              <w:t>,</w:t>
            </w:r>
            <w:r w:rsidRPr="00A0333D">
              <w:rPr>
                <w:rFonts w:ascii="Calibri" w:eastAsia="Times New Roman" w:hAnsi="Calibri" w:cs="Times New Roman"/>
                <w:color w:val="000000"/>
              </w:rPr>
              <w:t>062</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1</w:t>
            </w:r>
            <w:r w:rsidR="00E1234A">
              <w:rPr>
                <w:rFonts w:ascii="Calibri" w:eastAsia="Times New Roman" w:hAnsi="Calibri" w:cs="Times New Roman"/>
                <w:color w:val="000000"/>
              </w:rPr>
              <w:t>,393,662</w:t>
            </w:r>
          </w:p>
        </w:tc>
        <w:tc>
          <w:tcPr>
            <w:tcW w:w="198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754</w:t>
            </w:r>
            <w:r w:rsidR="00645744">
              <w:rPr>
                <w:rFonts w:ascii="Calibri" w:eastAsia="Times New Roman" w:hAnsi="Calibri" w:cs="Times New Roman"/>
                <w:color w:val="000000"/>
              </w:rPr>
              <w:t>,</w:t>
            </w:r>
            <w:r w:rsidRPr="00A0333D">
              <w:rPr>
                <w:rFonts w:ascii="Calibri" w:eastAsia="Times New Roman" w:hAnsi="Calibri" w:cs="Times New Roman"/>
                <w:color w:val="000000"/>
              </w:rPr>
              <w:t>550</w:t>
            </w:r>
          </w:p>
        </w:tc>
      </w:tr>
      <w:tr w:rsidR="00082FC0" w:rsidRPr="00A0333D" w:rsidTr="00F4012A">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416</w:t>
            </w:r>
            <w:r w:rsidR="00E1234A">
              <w:rPr>
                <w:rFonts w:ascii="Calibri" w:eastAsia="Times New Roman" w:hAnsi="Calibri" w:cs="Times New Roman"/>
                <w:color w:val="000000"/>
              </w:rPr>
              <w:t>,</w:t>
            </w:r>
            <w:r w:rsidRPr="00A0333D">
              <w:rPr>
                <w:rFonts w:ascii="Calibri" w:eastAsia="Times New Roman" w:hAnsi="Calibri" w:cs="Times New Roman"/>
                <w:color w:val="000000"/>
              </w:rPr>
              <w:t>247</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A0333D" w:rsidRDefault="00E1234A" w:rsidP="004138AE">
            <w:pPr>
              <w:rPr>
                <w:rFonts w:ascii="Calibri" w:eastAsia="Times New Roman" w:hAnsi="Calibri" w:cs="Times New Roman"/>
                <w:color w:val="000000"/>
              </w:rPr>
            </w:pPr>
            <w:r>
              <w:rPr>
                <w:rFonts w:ascii="Calibri" w:eastAsia="Times New Roman" w:hAnsi="Calibri" w:cs="Times New Roman"/>
                <w:color w:val="000000"/>
              </w:rPr>
              <w:t>1,333,088</w:t>
            </w:r>
          </w:p>
        </w:tc>
        <w:tc>
          <w:tcPr>
            <w:tcW w:w="198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792</w:t>
            </w:r>
            <w:r w:rsidR="00645744">
              <w:rPr>
                <w:rFonts w:ascii="Calibri" w:eastAsia="Times New Roman" w:hAnsi="Calibri" w:cs="Times New Roman"/>
                <w:color w:val="000000"/>
              </w:rPr>
              <w:t>,</w:t>
            </w:r>
            <w:r w:rsidRPr="00A0333D">
              <w:rPr>
                <w:rFonts w:ascii="Calibri" w:eastAsia="Times New Roman" w:hAnsi="Calibri" w:cs="Times New Roman"/>
                <w:color w:val="000000"/>
              </w:rPr>
              <w:t>751</w:t>
            </w:r>
          </w:p>
        </w:tc>
      </w:tr>
      <w:tr w:rsidR="00082FC0" w:rsidRPr="00A0333D" w:rsidTr="00F4012A">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398</w:t>
            </w:r>
            <w:r w:rsidR="00E1234A">
              <w:rPr>
                <w:rFonts w:ascii="Calibri" w:eastAsia="Times New Roman" w:hAnsi="Calibri" w:cs="Times New Roman"/>
                <w:color w:val="000000"/>
              </w:rPr>
              <w:t>,</w:t>
            </w:r>
            <w:r w:rsidRPr="00A0333D">
              <w:rPr>
                <w:rFonts w:ascii="Calibri" w:eastAsia="Times New Roman" w:hAnsi="Calibri" w:cs="Times New Roman"/>
                <w:color w:val="000000"/>
              </w:rPr>
              <w:t>983</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A0333D" w:rsidRDefault="00E1234A" w:rsidP="004138AE">
            <w:pPr>
              <w:rPr>
                <w:rFonts w:ascii="Calibri" w:eastAsia="Times New Roman" w:hAnsi="Calibri" w:cs="Times New Roman"/>
                <w:color w:val="000000"/>
              </w:rPr>
            </w:pPr>
            <w:r>
              <w:rPr>
                <w:rFonts w:ascii="Calibri" w:eastAsia="Times New Roman" w:hAnsi="Calibri" w:cs="Times New Roman"/>
                <w:color w:val="000000"/>
              </w:rPr>
              <w:t>1,355,852</w:t>
            </w:r>
          </w:p>
        </w:tc>
        <w:tc>
          <w:tcPr>
            <w:tcW w:w="198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793</w:t>
            </w:r>
            <w:r w:rsidR="00645744">
              <w:rPr>
                <w:rFonts w:ascii="Calibri" w:eastAsia="Times New Roman" w:hAnsi="Calibri" w:cs="Times New Roman"/>
                <w:color w:val="000000"/>
              </w:rPr>
              <w:t>,</w:t>
            </w:r>
            <w:r w:rsidRPr="00A0333D">
              <w:rPr>
                <w:rFonts w:ascii="Calibri" w:eastAsia="Times New Roman" w:hAnsi="Calibri" w:cs="Times New Roman"/>
                <w:color w:val="000000"/>
              </w:rPr>
              <w:t>270</w:t>
            </w:r>
          </w:p>
        </w:tc>
      </w:tr>
      <w:tr w:rsidR="00082FC0" w:rsidRPr="00A0333D" w:rsidTr="00F4012A">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2016</w:t>
            </w:r>
          </w:p>
        </w:tc>
        <w:tc>
          <w:tcPr>
            <w:tcW w:w="153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414</w:t>
            </w:r>
            <w:r w:rsidR="00E1234A">
              <w:rPr>
                <w:rFonts w:ascii="Calibri" w:eastAsia="Times New Roman" w:hAnsi="Calibri" w:cs="Times New Roman"/>
                <w:color w:val="000000"/>
              </w:rPr>
              <w:t>,</w:t>
            </w:r>
            <w:r w:rsidRPr="00A0333D">
              <w:rPr>
                <w:rFonts w:ascii="Calibri" w:eastAsia="Times New Roman" w:hAnsi="Calibri" w:cs="Times New Roman"/>
                <w:color w:val="000000"/>
              </w:rPr>
              <w:t>099</w:t>
            </w:r>
          </w:p>
        </w:tc>
        <w:tc>
          <w:tcPr>
            <w:tcW w:w="144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 </w:t>
            </w:r>
            <w:r>
              <w:rPr>
                <w:rFonts w:ascii="Calibri" w:eastAsia="Times New Roman" w:hAnsi="Calibri" w:cs="Times New Roman"/>
                <w:color w:val="000000"/>
              </w:rPr>
              <w:t>NA</w:t>
            </w:r>
          </w:p>
        </w:tc>
        <w:tc>
          <w:tcPr>
            <w:tcW w:w="1980" w:type="dxa"/>
            <w:tcBorders>
              <w:top w:val="nil"/>
              <w:left w:val="nil"/>
              <w:bottom w:val="single" w:sz="4" w:space="0" w:color="auto"/>
              <w:right w:val="single" w:sz="4" w:space="0" w:color="auto"/>
            </w:tcBorders>
            <w:shd w:val="clear" w:color="auto" w:fill="auto"/>
            <w:noWrap/>
            <w:vAlign w:val="bottom"/>
            <w:hideMark/>
          </w:tcPr>
          <w:p w:rsidR="00082FC0" w:rsidRPr="00A0333D" w:rsidRDefault="00082FC0" w:rsidP="004138AE">
            <w:pPr>
              <w:rPr>
                <w:rFonts w:ascii="Calibri" w:eastAsia="Times New Roman" w:hAnsi="Calibri" w:cs="Times New Roman"/>
                <w:color w:val="000000"/>
              </w:rPr>
            </w:pPr>
            <w:r w:rsidRPr="00A0333D">
              <w:rPr>
                <w:rFonts w:ascii="Calibri" w:eastAsia="Times New Roman" w:hAnsi="Calibri" w:cs="Times New Roman"/>
                <w:color w:val="000000"/>
              </w:rPr>
              <w:t> </w:t>
            </w:r>
            <w:r>
              <w:rPr>
                <w:rFonts w:ascii="Calibri" w:eastAsia="Times New Roman" w:hAnsi="Calibri" w:cs="Times New Roman"/>
                <w:color w:val="000000"/>
              </w:rPr>
              <w:t>NA</w:t>
            </w:r>
          </w:p>
        </w:tc>
      </w:tr>
    </w:tbl>
    <w:p w:rsidR="00A0333D" w:rsidRDefault="00A0333D" w:rsidP="004138AE">
      <w:pPr>
        <w:pStyle w:val="NoSpacing"/>
        <w:jc w:val="both"/>
        <w:rPr>
          <w:rFonts w:ascii="Times New Roman" w:hAnsi="Times New Roman" w:cs="Times New Roman"/>
          <w:sz w:val="24"/>
          <w:szCs w:val="24"/>
        </w:rPr>
      </w:pPr>
    </w:p>
    <w:p w:rsidR="00F45184" w:rsidRDefault="00F45184" w:rsidP="004138AE">
      <w:pPr>
        <w:pStyle w:val="NoSpacing"/>
        <w:jc w:val="both"/>
        <w:rPr>
          <w:rFonts w:ascii="Times New Roman" w:hAnsi="Times New Roman" w:cs="Times New Roman"/>
          <w:sz w:val="24"/>
          <w:szCs w:val="24"/>
        </w:rPr>
      </w:pPr>
    </w:p>
    <w:p w:rsidR="00F45184" w:rsidRDefault="00F45184" w:rsidP="004138AE">
      <w:pPr>
        <w:pStyle w:val="NoSpacing"/>
        <w:jc w:val="both"/>
        <w:rPr>
          <w:rFonts w:ascii="Times New Roman" w:hAnsi="Times New Roman" w:cs="Times New Roman"/>
          <w:sz w:val="24"/>
          <w:szCs w:val="24"/>
        </w:rPr>
      </w:pPr>
    </w:p>
    <w:p w:rsidR="006C12F3" w:rsidRDefault="00D823FE" w:rsidP="004138AE">
      <w:pPr>
        <w:pStyle w:val="NoSpacing"/>
        <w:jc w:val="both"/>
        <w:rPr>
          <w:rFonts w:ascii="Times New Roman" w:hAnsi="Times New Roman" w:cs="Times New Roman"/>
          <w:sz w:val="24"/>
          <w:szCs w:val="24"/>
        </w:rPr>
      </w:pPr>
      <w:r w:rsidRPr="006E3182">
        <w:rPr>
          <w:rFonts w:ascii="Times New Roman" w:hAnsi="Times New Roman" w:cs="Times New Roman"/>
          <w:sz w:val="24"/>
          <w:szCs w:val="24"/>
        </w:rPr>
        <w:t xml:space="preserve">The </w:t>
      </w:r>
      <w:r w:rsidR="005653A0">
        <w:rPr>
          <w:rFonts w:ascii="Times New Roman" w:hAnsi="Times New Roman" w:cs="Times New Roman"/>
          <w:sz w:val="24"/>
          <w:szCs w:val="24"/>
        </w:rPr>
        <w:t>table shows that</w:t>
      </w:r>
      <w:r w:rsidR="006E3182">
        <w:rPr>
          <w:rFonts w:ascii="Times New Roman" w:hAnsi="Times New Roman" w:cs="Times New Roman"/>
          <w:sz w:val="24"/>
          <w:szCs w:val="24"/>
        </w:rPr>
        <w:t xml:space="preserve"> DOMLEC</w:t>
      </w:r>
      <w:r w:rsidR="00772084">
        <w:rPr>
          <w:rFonts w:ascii="Times New Roman" w:hAnsi="Times New Roman" w:cs="Times New Roman"/>
          <w:sz w:val="24"/>
          <w:szCs w:val="24"/>
        </w:rPr>
        <w:t>’s</w:t>
      </w:r>
      <w:r w:rsidR="006E3182">
        <w:rPr>
          <w:rFonts w:ascii="Times New Roman" w:hAnsi="Times New Roman" w:cs="Times New Roman"/>
          <w:sz w:val="24"/>
          <w:szCs w:val="24"/>
        </w:rPr>
        <w:t xml:space="preserve"> </w:t>
      </w:r>
      <w:r w:rsidRPr="006E3182">
        <w:rPr>
          <w:rFonts w:ascii="Times New Roman" w:hAnsi="Times New Roman" w:cs="Times New Roman"/>
          <w:sz w:val="24"/>
          <w:szCs w:val="24"/>
        </w:rPr>
        <w:t xml:space="preserve">sales per employee increased </w:t>
      </w:r>
      <w:r w:rsidR="00E61DAD" w:rsidRPr="006E3182">
        <w:rPr>
          <w:rFonts w:ascii="Times New Roman" w:hAnsi="Times New Roman" w:cs="Times New Roman"/>
          <w:sz w:val="24"/>
          <w:szCs w:val="24"/>
        </w:rPr>
        <w:t xml:space="preserve">consistently </w:t>
      </w:r>
      <w:r w:rsidR="005150AE" w:rsidRPr="006E3182">
        <w:rPr>
          <w:rFonts w:ascii="Times New Roman" w:hAnsi="Times New Roman" w:cs="Times New Roman"/>
          <w:sz w:val="24"/>
          <w:szCs w:val="24"/>
        </w:rPr>
        <w:t>until 2014, then declined significantly in 2015 and rebounded in 2016.</w:t>
      </w:r>
      <w:r w:rsidR="00C71893" w:rsidRPr="006E3182">
        <w:rPr>
          <w:rFonts w:ascii="Times New Roman" w:hAnsi="Times New Roman" w:cs="Times New Roman"/>
          <w:sz w:val="24"/>
          <w:szCs w:val="24"/>
        </w:rPr>
        <w:t xml:space="preserve">  </w:t>
      </w:r>
      <w:r w:rsidR="002545FB" w:rsidRPr="006E3182">
        <w:rPr>
          <w:rFonts w:ascii="Times New Roman" w:hAnsi="Times New Roman" w:cs="Times New Roman"/>
          <w:sz w:val="24"/>
          <w:szCs w:val="24"/>
        </w:rPr>
        <w:t xml:space="preserve"> </w:t>
      </w:r>
      <w:r w:rsidR="006E3182">
        <w:rPr>
          <w:rFonts w:ascii="Times New Roman" w:hAnsi="Times New Roman" w:cs="Times New Roman"/>
          <w:sz w:val="24"/>
          <w:szCs w:val="24"/>
        </w:rPr>
        <w:t xml:space="preserve">The sharp decline observed in 2015 was as a result of Tropical Storm Erica which damaged infrastructure thereby reducing energy production and consequently energy sales. As the company’s recovery continued in 2016 its sales improved markedly. </w:t>
      </w:r>
      <w:r w:rsidR="00E61DAD">
        <w:rPr>
          <w:rFonts w:ascii="Times New Roman" w:hAnsi="Times New Roman" w:cs="Times New Roman"/>
          <w:sz w:val="24"/>
          <w:szCs w:val="24"/>
        </w:rPr>
        <w:t>It was noted that DOMLEC</w:t>
      </w:r>
      <w:r w:rsidR="006C12F3">
        <w:rPr>
          <w:rFonts w:ascii="Times New Roman" w:hAnsi="Times New Roman" w:cs="Times New Roman"/>
          <w:sz w:val="24"/>
          <w:szCs w:val="24"/>
        </w:rPr>
        <w:t>’s</w:t>
      </w:r>
      <w:r w:rsidR="00E61DAD">
        <w:rPr>
          <w:rFonts w:ascii="Times New Roman" w:hAnsi="Times New Roman" w:cs="Times New Roman"/>
          <w:sz w:val="24"/>
          <w:szCs w:val="24"/>
        </w:rPr>
        <w:t xml:space="preserve"> i</w:t>
      </w:r>
      <w:r w:rsidR="00E1234A">
        <w:rPr>
          <w:rFonts w:ascii="Times New Roman" w:hAnsi="Times New Roman" w:cs="Times New Roman"/>
          <w:sz w:val="24"/>
          <w:szCs w:val="24"/>
        </w:rPr>
        <w:t>ndicator was considerably lower</w:t>
      </w:r>
      <w:r w:rsidR="00E61DAD">
        <w:rPr>
          <w:rFonts w:ascii="Times New Roman" w:hAnsi="Times New Roman" w:cs="Times New Roman"/>
          <w:sz w:val="24"/>
          <w:szCs w:val="24"/>
        </w:rPr>
        <w:t xml:space="preserve"> in relation </w:t>
      </w:r>
      <w:r w:rsidR="00190B8E">
        <w:rPr>
          <w:rFonts w:ascii="Times New Roman" w:hAnsi="Times New Roman" w:cs="Times New Roman"/>
          <w:sz w:val="24"/>
          <w:szCs w:val="24"/>
        </w:rPr>
        <w:t>to</w:t>
      </w:r>
      <w:bookmarkStart w:id="20" w:name="_Toc485128749"/>
      <w:r w:rsidR="005D4CF4">
        <w:rPr>
          <w:rFonts w:ascii="Times New Roman" w:hAnsi="Times New Roman" w:cs="Times New Roman"/>
          <w:sz w:val="24"/>
          <w:szCs w:val="24"/>
        </w:rPr>
        <w:t xml:space="preserve"> LUCELEC and GRENLEC</w:t>
      </w:r>
      <w:r w:rsidR="00E50DE6">
        <w:rPr>
          <w:rFonts w:ascii="Times New Roman" w:hAnsi="Times New Roman" w:cs="Times New Roman"/>
          <w:sz w:val="24"/>
          <w:szCs w:val="24"/>
        </w:rPr>
        <w:t xml:space="preserve"> from 2012 to 2015</w:t>
      </w:r>
      <w:r w:rsidR="00CE5F34">
        <w:rPr>
          <w:rFonts w:ascii="Times New Roman" w:hAnsi="Times New Roman" w:cs="Times New Roman"/>
          <w:sz w:val="24"/>
          <w:szCs w:val="24"/>
        </w:rPr>
        <w:t xml:space="preserve"> but this can be easily explained by the larger populations in those jurisdictions.</w:t>
      </w:r>
    </w:p>
    <w:p w:rsidR="00082FC0" w:rsidRDefault="00082FC0" w:rsidP="004138AE">
      <w:pPr>
        <w:pStyle w:val="NoSpacing"/>
        <w:jc w:val="both"/>
        <w:rPr>
          <w:rFonts w:ascii="Times New Roman" w:hAnsi="Times New Roman" w:cs="Times New Roman"/>
          <w:sz w:val="24"/>
          <w:szCs w:val="24"/>
        </w:rPr>
      </w:pPr>
    </w:p>
    <w:p w:rsidR="004E7D0D" w:rsidRPr="00204F40" w:rsidRDefault="006C12F3"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465CAC">
        <w:rPr>
          <w:rFonts w:ascii="Times New Roman" w:hAnsi="Times New Roman" w:cs="Times New Roman"/>
          <w:b/>
          <w:sz w:val="24"/>
          <w:szCs w:val="24"/>
        </w:rPr>
        <w:t>Number of</w:t>
      </w:r>
      <w:r w:rsidR="002010AE">
        <w:rPr>
          <w:rFonts w:ascii="Times New Roman" w:hAnsi="Times New Roman" w:cs="Times New Roman"/>
          <w:b/>
          <w:sz w:val="24"/>
          <w:szCs w:val="24"/>
        </w:rPr>
        <w:t xml:space="preserve"> </w:t>
      </w:r>
      <w:r w:rsidR="004E7D0D" w:rsidRPr="00204F40">
        <w:rPr>
          <w:rFonts w:ascii="Times New Roman" w:hAnsi="Times New Roman" w:cs="Times New Roman"/>
          <w:b/>
          <w:sz w:val="24"/>
          <w:szCs w:val="24"/>
        </w:rPr>
        <w:t>Customers per Employee</w:t>
      </w:r>
      <w:bookmarkEnd w:id="20"/>
    </w:p>
    <w:p w:rsidR="00FA0775" w:rsidRDefault="00FA0775" w:rsidP="004138AE">
      <w:pPr>
        <w:pStyle w:val="NoSpacing"/>
        <w:jc w:val="both"/>
        <w:rPr>
          <w:rFonts w:ascii="Times New Roman" w:hAnsi="Times New Roman" w:cs="Times New Roman"/>
          <w:b/>
          <w:sz w:val="24"/>
          <w:szCs w:val="24"/>
          <w:u w:val="single"/>
        </w:rPr>
      </w:pPr>
    </w:p>
    <w:p w:rsidR="00FA0775" w:rsidRDefault="002010AE" w:rsidP="004138AE">
      <w:pPr>
        <w:pStyle w:val="NoSpacing"/>
        <w:jc w:val="both"/>
        <w:rPr>
          <w:rFonts w:ascii="Times New Roman" w:hAnsi="Times New Roman" w:cs="Times New Roman"/>
          <w:sz w:val="24"/>
          <w:szCs w:val="24"/>
        </w:rPr>
      </w:pPr>
      <w:r>
        <w:rPr>
          <w:rFonts w:ascii="Times New Roman" w:hAnsi="Times New Roman" w:cs="Times New Roman"/>
          <w:sz w:val="24"/>
          <w:szCs w:val="24"/>
        </w:rPr>
        <w:t>The number of customers per employee (kWh) measures</w:t>
      </w:r>
      <w:r w:rsidR="00FA0775">
        <w:rPr>
          <w:rFonts w:ascii="Times New Roman" w:hAnsi="Times New Roman" w:cs="Times New Roman"/>
          <w:sz w:val="24"/>
          <w:szCs w:val="24"/>
        </w:rPr>
        <w:t xml:space="preserve"> the </w:t>
      </w:r>
      <w:r w:rsidR="00204F40">
        <w:rPr>
          <w:rFonts w:ascii="Times New Roman" w:hAnsi="Times New Roman" w:cs="Times New Roman"/>
          <w:sz w:val="24"/>
          <w:szCs w:val="24"/>
        </w:rPr>
        <w:t>labor</w:t>
      </w:r>
      <w:r w:rsidR="00B4605F">
        <w:rPr>
          <w:rFonts w:ascii="Times New Roman" w:hAnsi="Times New Roman" w:cs="Times New Roman"/>
          <w:sz w:val="24"/>
          <w:szCs w:val="24"/>
        </w:rPr>
        <w:t xml:space="preserve"> efficiency of the utility. </w:t>
      </w:r>
      <w:r w:rsidR="007D461F">
        <w:rPr>
          <w:rFonts w:ascii="Times New Roman" w:hAnsi="Times New Roman" w:cs="Times New Roman"/>
          <w:sz w:val="24"/>
          <w:szCs w:val="24"/>
        </w:rPr>
        <w:t>The indicator is calculated:</w:t>
      </w:r>
    </w:p>
    <w:p w:rsidR="007D461F" w:rsidRDefault="007D461F" w:rsidP="004138AE">
      <w:pPr>
        <w:pStyle w:val="NoSpacing"/>
        <w:jc w:val="both"/>
        <w:rPr>
          <w:rFonts w:ascii="Times New Roman" w:hAnsi="Times New Roman" w:cs="Times New Roman"/>
          <w:sz w:val="24"/>
          <w:szCs w:val="24"/>
        </w:rPr>
      </w:pPr>
    </w:p>
    <w:p w:rsidR="00F45184" w:rsidRDefault="007D461F"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Customers per </w:t>
      </w:r>
      <w:r w:rsidR="00204F40">
        <w:rPr>
          <w:rFonts w:ascii="Times New Roman" w:hAnsi="Times New Roman" w:cs="Times New Roman"/>
          <w:sz w:val="24"/>
          <w:szCs w:val="24"/>
        </w:rPr>
        <w:t>employee = Total</w:t>
      </w:r>
      <w:r>
        <w:rPr>
          <w:rFonts w:ascii="Times New Roman" w:hAnsi="Times New Roman" w:cs="Times New Roman"/>
          <w:sz w:val="24"/>
          <w:szCs w:val="24"/>
        </w:rPr>
        <w:t xml:space="preserve"> Customers/</w:t>
      </w:r>
      <w:r w:rsidR="00FE4602">
        <w:rPr>
          <w:rFonts w:ascii="Times New Roman" w:hAnsi="Times New Roman" w:cs="Times New Roman"/>
          <w:sz w:val="24"/>
          <w:szCs w:val="24"/>
        </w:rPr>
        <w:t>N</w:t>
      </w:r>
      <w:r>
        <w:rPr>
          <w:rFonts w:ascii="Times New Roman" w:hAnsi="Times New Roman" w:cs="Times New Roman"/>
          <w:sz w:val="24"/>
          <w:szCs w:val="24"/>
        </w:rPr>
        <w:t>umber of Full Time Employees</w:t>
      </w:r>
    </w:p>
    <w:p w:rsidR="00F45184" w:rsidRDefault="00F45184" w:rsidP="004138AE">
      <w:pPr>
        <w:pStyle w:val="NoSpacing"/>
        <w:jc w:val="both"/>
        <w:rPr>
          <w:rFonts w:ascii="Times New Roman" w:hAnsi="Times New Roman" w:cs="Times New Roman"/>
          <w:sz w:val="24"/>
          <w:szCs w:val="24"/>
        </w:rPr>
      </w:pPr>
    </w:p>
    <w:p w:rsidR="00FF6F5A" w:rsidRDefault="00FF6F5A" w:rsidP="004138AE">
      <w:pPr>
        <w:pStyle w:val="NoSpacing"/>
        <w:jc w:val="both"/>
        <w:rPr>
          <w:rFonts w:ascii="Times New Roman" w:hAnsi="Times New Roman" w:cs="Times New Roman"/>
          <w:sz w:val="24"/>
          <w:szCs w:val="24"/>
        </w:rPr>
      </w:pPr>
    </w:p>
    <w:p w:rsidR="00FF6F5A" w:rsidRDefault="00FF6F5A" w:rsidP="00FF6F5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Table 10-a</w:t>
      </w:r>
      <w:r w:rsidRPr="008449EE">
        <w:rPr>
          <w:rFonts w:ascii="Times New Roman" w:hAnsi="Times New Roman" w:cs="Times New Roman"/>
          <w:b/>
          <w:sz w:val="24"/>
          <w:szCs w:val="24"/>
        </w:rPr>
        <w:t xml:space="preserve"> Number of Full Time Employees</w:t>
      </w:r>
    </w:p>
    <w:p w:rsidR="00FF6F5A" w:rsidRPr="008449EE" w:rsidRDefault="00FF6F5A" w:rsidP="00FF6F5A">
      <w:pPr>
        <w:pStyle w:val="NoSpacing"/>
        <w:jc w:val="both"/>
        <w:rPr>
          <w:rFonts w:ascii="Times New Roman" w:hAnsi="Times New Roman" w:cs="Times New Roman"/>
          <w:b/>
          <w:sz w:val="24"/>
          <w:szCs w:val="24"/>
        </w:rPr>
      </w:pPr>
    </w:p>
    <w:tbl>
      <w:tblPr>
        <w:tblW w:w="5850" w:type="dxa"/>
        <w:tblInd w:w="828" w:type="dxa"/>
        <w:tblLook w:val="04A0"/>
      </w:tblPr>
      <w:tblGrid>
        <w:gridCol w:w="1170"/>
        <w:gridCol w:w="1440"/>
        <w:gridCol w:w="552"/>
        <w:gridCol w:w="708"/>
        <w:gridCol w:w="1080"/>
        <w:gridCol w:w="900"/>
      </w:tblGrid>
      <w:tr w:rsidR="00FF6F5A" w:rsidRPr="00D32EAE" w:rsidTr="0069517C">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 </w:t>
            </w:r>
          </w:p>
        </w:tc>
        <w:tc>
          <w:tcPr>
            <w:tcW w:w="1992" w:type="dxa"/>
            <w:gridSpan w:val="2"/>
            <w:tcBorders>
              <w:top w:val="single" w:sz="4" w:space="0" w:color="auto"/>
              <w:left w:val="nil"/>
              <w:bottom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b/>
                <w:bCs/>
                <w:color w:val="000000"/>
              </w:rPr>
            </w:pPr>
            <w:r w:rsidRPr="00D32EAE">
              <w:rPr>
                <w:rFonts w:ascii="Calibri" w:eastAsia="Times New Roman" w:hAnsi="Calibri" w:cs="Times New Roman"/>
                <w:b/>
                <w:bCs/>
                <w:color w:val="000000"/>
              </w:rPr>
              <w:t>Number of Full Time Employees</w:t>
            </w:r>
          </w:p>
        </w:tc>
        <w:tc>
          <w:tcPr>
            <w:tcW w:w="1788" w:type="dxa"/>
            <w:gridSpan w:val="2"/>
            <w:tcBorders>
              <w:top w:val="single" w:sz="4" w:space="0" w:color="auto"/>
              <w:bottom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b/>
                <w:bCs/>
                <w:color w:val="000000"/>
              </w:rPr>
            </w:pPr>
            <w:r w:rsidRPr="00D32EAE">
              <w:rPr>
                <w:rFonts w:ascii="Calibri" w:eastAsia="Times New Roman" w:hAnsi="Calibri" w:cs="Times New Roman"/>
                <w:b/>
                <w:bCs/>
                <w:color w:val="000000"/>
              </w:rPr>
              <w:t> </w:t>
            </w:r>
          </w:p>
        </w:tc>
        <w:tc>
          <w:tcPr>
            <w:tcW w:w="900" w:type="dxa"/>
            <w:tcBorders>
              <w:top w:val="single" w:sz="4" w:space="0" w:color="auto"/>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b/>
                <w:bCs/>
                <w:color w:val="000000"/>
              </w:rPr>
            </w:pPr>
            <w:r w:rsidRPr="00D32EAE">
              <w:rPr>
                <w:rFonts w:ascii="Calibri" w:eastAsia="Times New Roman" w:hAnsi="Calibri" w:cs="Times New Roman"/>
                <w:b/>
                <w:bCs/>
                <w:color w:val="000000"/>
              </w:rPr>
              <w:t> </w:t>
            </w:r>
          </w:p>
        </w:tc>
      </w:tr>
      <w:tr w:rsidR="00FF6F5A" w:rsidRPr="00D32EAE" w:rsidTr="0069517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Years</w:t>
            </w:r>
          </w:p>
        </w:tc>
        <w:tc>
          <w:tcPr>
            <w:tcW w:w="1440" w:type="dxa"/>
            <w:tcBorders>
              <w:top w:val="nil"/>
              <w:left w:val="nil"/>
              <w:bottom w:val="single" w:sz="4" w:space="0" w:color="auto"/>
              <w:right w:val="single" w:sz="4" w:space="0" w:color="auto"/>
            </w:tcBorders>
            <w:shd w:val="clear" w:color="auto" w:fill="auto"/>
            <w:noWrap/>
            <w:vAlign w:val="bottom"/>
            <w:hideMark/>
          </w:tcPr>
          <w:p w:rsidR="00FF6F5A" w:rsidRDefault="00FF6F5A" w:rsidP="0069517C">
            <w:pPr>
              <w:rPr>
                <w:rFonts w:ascii="Calibri" w:eastAsia="Times New Roman" w:hAnsi="Calibri" w:cs="Times New Roman"/>
                <w:b/>
                <w:bCs/>
                <w:color w:val="000000"/>
              </w:rPr>
            </w:pPr>
          </w:p>
          <w:p w:rsidR="00FF6F5A" w:rsidRPr="00D32EAE" w:rsidRDefault="00FF6F5A" w:rsidP="0069517C">
            <w:pPr>
              <w:rPr>
                <w:rFonts w:ascii="Calibri" w:eastAsia="Times New Roman" w:hAnsi="Calibri" w:cs="Times New Roman"/>
                <w:b/>
                <w:bCs/>
                <w:color w:val="000000"/>
              </w:rPr>
            </w:pPr>
            <w:r w:rsidRPr="00D32EAE">
              <w:rPr>
                <w:rFonts w:ascii="Calibri" w:eastAsia="Times New Roman" w:hAnsi="Calibri" w:cs="Times New Roman"/>
                <w:b/>
                <w:bCs/>
                <w:color w:val="000000"/>
              </w:rPr>
              <w:t>DOMLEC</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b/>
                <w:bCs/>
                <w:color w:val="000000"/>
              </w:rPr>
            </w:pPr>
            <w:r w:rsidRPr="00D32EAE">
              <w:rPr>
                <w:rFonts w:ascii="Calibri" w:eastAsia="Times New Roman" w:hAnsi="Calibri" w:cs="Times New Roman"/>
                <w:b/>
                <w:bCs/>
                <w:color w:val="000000"/>
              </w:rPr>
              <w:t>LUCELEC</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b/>
                <w:bCs/>
                <w:color w:val="000000"/>
              </w:rPr>
            </w:pPr>
            <w:r w:rsidRPr="00D32EAE">
              <w:rPr>
                <w:rFonts w:ascii="Calibri" w:eastAsia="Times New Roman" w:hAnsi="Calibri" w:cs="Times New Roman"/>
                <w:b/>
                <w:bCs/>
                <w:color w:val="000000"/>
              </w:rPr>
              <w:t>GRENLEC</w:t>
            </w:r>
          </w:p>
        </w:tc>
      </w:tr>
      <w:tr w:rsidR="00FF6F5A" w:rsidRPr="00D32EAE" w:rsidTr="0069517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2012</w:t>
            </w:r>
          </w:p>
        </w:tc>
        <w:tc>
          <w:tcPr>
            <w:tcW w:w="1440" w:type="dxa"/>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249</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235</w:t>
            </w:r>
          </w:p>
        </w:tc>
      </w:tr>
      <w:tr w:rsidR="00FF6F5A" w:rsidRPr="00D32EAE" w:rsidTr="0069517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2013</w:t>
            </w:r>
          </w:p>
        </w:tc>
        <w:tc>
          <w:tcPr>
            <w:tcW w:w="1440" w:type="dxa"/>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240</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233</w:t>
            </w:r>
          </w:p>
        </w:tc>
      </w:tr>
      <w:tr w:rsidR="00FF6F5A" w:rsidRPr="00D32EAE" w:rsidTr="0069517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2014</w:t>
            </w:r>
          </w:p>
        </w:tc>
        <w:tc>
          <w:tcPr>
            <w:tcW w:w="1440" w:type="dxa"/>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249</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226</w:t>
            </w:r>
          </w:p>
        </w:tc>
      </w:tr>
      <w:tr w:rsidR="00FF6F5A" w:rsidRPr="00D32EAE" w:rsidTr="0069517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2015</w:t>
            </w:r>
          </w:p>
        </w:tc>
        <w:tc>
          <w:tcPr>
            <w:tcW w:w="1440" w:type="dxa"/>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245</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232</w:t>
            </w:r>
          </w:p>
        </w:tc>
      </w:tr>
      <w:tr w:rsidR="00FF6F5A" w:rsidRPr="00D32EAE" w:rsidTr="0069517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2016</w:t>
            </w:r>
          </w:p>
        </w:tc>
        <w:tc>
          <w:tcPr>
            <w:tcW w:w="1440" w:type="dxa"/>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NA</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FF6F5A" w:rsidRPr="00D32EAE" w:rsidRDefault="00FF6F5A" w:rsidP="0069517C">
            <w:pPr>
              <w:rPr>
                <w:rFonts w:ascii="Calibri" w:eastAsia="Times New Roman" w:hAnsi="Calibri" w:cs="Times New Roman"/>
                <w:color w:val="000000"/>
              </w:rPr>
            </w:pPr>
            <w:r w:rsidRPr="00D32EAE">
              <w:rPr>
                <w:rFonts w:ascii="Calibri" w:eastAsia="Times New Roman" w:hAnsi="Calibri" w:cs="Times New Roman"/>
                <w:color w:val="000000"/>
              </w:rPr>
              <w:t>NA</w:t>
            </w:r>
          </w:p>
        </w:tc>
      </w:tr>
    </w:tbl>
    <w:p w:rsidR="00FF6F5A" w:rsidRDefault="00FF6F5A" w:rsidP="00FF6F5A">
      <w:pPr>
        <w:pStyle w:val="NoSpacing"/>
        <w:jc w:val="both"/>
        <w:rPr>
          <w:rFonts w:ascii="Times New Roman" w:hAnsi="Times New Roman" w:cs="Times New Roman"/>
          <w:sz w:val="24"/>
          <w:szCs w:val="24"/>
        </w:rPr>
      </w:pPr>
    </w:p>
    <w:p w:rsidR="00FF6F5A" w:rsidRDefault="00FF6F5A" w:rsidP="00FF6F5A">
      <w:pPr>
        <w:pStyle w:val="NoSpacing"/>
        <w:jc w:val="both"/>
        <w:rPr>
          <w:rFonts w:ascii="Times New Roman" w:hAnsi="Times New Roman" w:cs="Times New Roman"/>
          <w:sz w:val="24"/>
          <w:szCs w:val="24"/>
        </w:rPr>
      </w:pPr>
    </w:p>
    <w:p w:rsidR="00FF6F5A" w:rsidRPr="00432747" w:rsidRDefault="00FF6F5A" w:rsidP="00FF6F5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Table 1</w:t>
      </w:r>
      <w:r w:rsidR="00CC6AD0">
        <w:rPr>
          <w:rFonts w:ascii="Times New Roman" w:hAnsi="Times New Roman" w:cs="Times New Roman"/>
          <w:b/>
          <w:sz w:val="24"/>
          <w:szCs w:val="24"/>
        </w:rPr>
        <w:t>0-b</w:t>
      </w:r>
      <w:r>
        <w:rPr>
          <w:rFonts w:ascii="Times New Roman" w:hAnsi="Times New Roman" w:cs="Times New Roman"/>
          <w:b/>
          <w:sz w:val="24"/>
          <w:szCs w:val="24"/>
        </w:rPr>
        <w:t xml:space="preserve"> </w:t>
      </w:r>
      <w:r w:rsidR="00446203">
        <w:rPr>
          <w:rFonts w:ascii="Times New Roman" w:hAnsi="Times New Roman" w:cs="Times New Roman"/>
          <w:b/>
          <w:sz w:val="24"/>
          <w:szCs w:val="24"/>
        </w:rPr>
        <w:t xml:space="preserve"> Number of </w:t>
      </w:r>
      <w:r w:rsidRPr="00432747">
        <w:rPr>
          <w:rFonts w:ascii="Times New Roman" w:hAnsi="Times New Roman" w:cs="Times New Roman"/>
          <w:b/>
          <w:sz w:val="24"/>
          <w:szCs w:val="24"/>
        </w:rPr>
        <w:t xml:space="preserve"> Customers per Employee 2012 to 2016</w:t>
      </w:r>
    </w:p>
    <w:p w:rsidR="00FF6F5A" w:rsidRDefault="00FF6F5A" w:rsidP="00FF6F5A">
      <w:pPr>
        <w:pStyle w:val="NoSpacing"/>
        <w:jc w:val="both"/>
        <w:rPr>
          <w:rFonts w:ascii="Times New Roman" w:hAnsi="Times New Roman" w:cs="Times New Roman"/>
          <w:sz w:val="24"/>
          <w:szCs w:val="24"/>
        </w:rPr>
      </w:pPr>
    </w:p>
    <w:p w:rsidR="00FF6F5A" w:rsidRDefault="00FF6F5A" w:rsidP="004138AE">
      <w:pPr>
        <w:pStyle w:val="NoSpacing"/>
        <w:jc w:val="both"/>
        <w:rPr>
          <w:rFonts w:ascii="Times New Roman" w:hAnsi="Times New Roman" w:cs="Times New Roman"/>
          <w:sz w:val="24"/>
          <w:szCs w:val="24"/>
        </w:rPr>
      </w:pPr>
    </w:p>
    <w:tbl>
      <w:tblPr>
        <w:tblW w:w="5952" w:type="dxa"/>
        <w:tblInd w:w="816" w:type="dxa"/>
        <w:tblLook w:val="04A0"/>
      </w:tblPr>
      <w:tblGrid>
        <w:gridCol w:w="1182"/>
        <w:gridCol w:w="734"/>
        <w:gridCol w:w="616"/>
        <w:gridCol w:w="524"/>
        <w:gridCol w:w="826"/>
        <w:gridCol w:w="454"/>
        <w:gridCol w:w="1616"/>
      </w:tblGrid>
      <w:tr w:rsidR="00F45184" w:rsidRPr="00F63E07" w:rsidTr="00866BAB">
        <w:trPr>
          <w:gridAfter w:val="1"/>
          <w:wAfter w:w="1616" w:type="dxa"/>
          <w:trHeight w:val="300"/>
        </w:trPr>
        <w:tc>
          <w:tcPr>
            <w:tcW w:w="1182" w:type="dxa"/>
            <w:tcBorders>
              <w:top w:val="nil"/>
              <w:left w:val="nil"/>
              <w:bottom w:val="nil"/>
              <w:right w:val="nil"/>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p>
        </w:tc>
        <w:tc>
          <w:tcPr>
            <w:tcW w:w="1140" w:type="dxa"/>
            <w:gridSpan w:val="2"/>
            <w:tcBorders>
              <w:top w:val="nil"/>
              <w:left w:val="nil"/>
              <w:bottom w:val="nil"/>
              <w:right w:val="nil"/>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p>
        </w:tc>
        <w:tc>
          <w:tcPr>
            <w:tcW w:w="1280" w:type="dxa"/>
            <w:gridSpan w:val="2"/>
            <w:tcBorders>
              <w:top w:val="nil"/>
              <w:left w:val="nil"/>
              <w:bottom w:val="nil"/>
              <w:right w:val="nil"/>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p>
        </w:tc>
      </w:tr>
      <w:tr w:rsidR="00F45184" w:rsidRPr="00F63E07" w:rsidTr="00866BA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b/>
                <w:bCs/>
                <w:color w:val="000000"/>
              </w:rPr>
            </w:pPr>
            <w:r w:rsidRPr="00F63E07">
              <w:rPr>
                <w:rFonts w:ascii="Calibri" w:eastAsia="Times New Roman" w:hAnsi="Calibri" w:cs="Times New Roman"/>
                <w:b/>
                <w:bCs/>
                <w:color w:val="000000"/>
              </w:rPr>
              <w:t> </w:t>
            </w:r>
          </w:p>
        </w:tc>
        <w:tc>
          <w:tcPr>
            <w:tcW w:w="4770" w:type="dxa"/>
            <w:gridSpan w:val="6"/>
            <w:tcBorders>
              <w:top w:val="single" w:sz="4" w:space="0" w:color="auto"/>
              <w:bottom w:val="single" w:sz="4" w:space="0" w:color="auto"/>
              <w:right w:val="single" w:sz="4" w:space="0" w:color="auto"/>
            </w:tcBorders>
            <w:shd w:val="clear" w:color="auto" w:fill="auto"/>
          </w:tcPr>
          <w:p w:rsidR="00F45184" w:rsidRPr="00F45184" w:rsidRDefault="00446203" w:rsidP="004138AE">
            <w:pPr>
              <w:rPr>
                <w:b/>
              </w:rPr>
            </w:pPr>
            <w:r>
              <w:rPr>
                <w:b/>
              </w:rPr>
              <w:t xml:space="preserve"> Number  of </w:t>
            </w:r>
            <w:r w:rsidR="00F45184" w:rsidRPr="00F45184">
              <w:rPr>
                <w:b/>
              </w:rPr>
              <w:t>Customers per Employee</w:t>
            </w:r>
          </w:p>
        </w:tc>
      </w:tr>
      <w:tr w:rsidR="00F45184" w:rsidRPr="00F63E07" w:rsidTr="00866BAB">
        <w:trPr>
          <w:trHeight w:val="9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b/>
                <w:bCs/>
                <w:color w:val="000000"/>
              </w:rPr>
            </w:pPr>
            <w:r w:rsidRPr="00F63E07">
              <w:rPr>
                <w:rFonts w:ascii="Calibri" w:eastAsia="Times New Roman" w:hAnsi="Calibri" w:cs="Times New Roman"/>
                <w:b/>
                <w:bCs/>
                <w:color w:val="000000"/>
              </w:rPr>
              <w:t>Years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b/>
                <w:bCs/>
                <w:color w:val="000000"/>
              </w:rPr>
            </w:pPr>
            <w:r w:rsidRPr="00F63E07">
              <w:rPr>
                <w:rFonts w:ascii="Calibri" w:eastAsia="Times New Roman" w:hAnsi="Calibri" w:cs="Times New Roman"/>
                <w:b/>
                <w:bCs/>
                <w:color w:val="000000"/>
              </w:rPr>
              <w:t>DOMLEC</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b/>
                <w:bCs/>
                <w:color w:val="000000"/>
              </w:rPr>
            </w:pPr>
            <w:r w:rsidRPr="00F63E07">
              <w:rPr>
                <w:rFonts w:ascii="Calibri" w:eastAsia="Times New Roman" w:hAnsi="Calibri" w:cs="Times New Roman"/>
                <w:b/>
                <w:bCs/>
                <w:color w:val="000000"/>
              </w:rPr>
              <w:t>LUCELEC</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b/>
                <w:bCs/>
                <w:color w:val="000000"/>
              </w:rPr>
            </w:pPr>
            <w:r w:rsidRPr="00F63E07">
              <w:rPr>
                <w:rFonts w:ascii="Calibri" w:eastAsia="Times New Roman" w:hAnsi="Calibri" w:cs="Times New Roman"/>
                <w:b/>
                <w:bCs/>
                <w:color w:val="000000"/>
              </w:rPr>
              <w:t xml:space="preserve"> GRENLEC</w:t>
            </w:r>
          </w:p>
        </w:tc>
      </w:tr>
      <w:tr w:rsidR="00F45184" w:rsidRPr="00F63E07" w:rsidTr="00866BA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 </w:t>
            </w:r>
          </w:p>
        </w:tc>
      </w:tr>
      <w:tr w:rsidR="00F45184" w:rsidRPr="00F63E07" w:rsidTr="00866BA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2012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153</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248</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194</w:t>
            </w:r>
          </w:p>
        </w:tc>
      </w:tr>
      <w:tr w:rsidR="00F45184" w:rsidRPr="00F63E07" w:rsidTr="00866BA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2013</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158</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274</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196</w:t>
            </w:r>
          </w:p>
        </w:tc>
      </w:tr>
      <w:tr w:rsidR="00F45184" w:rsidRPr="00F63E07" w:rsidTr="00866BA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2014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161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269</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205</w:t>
            </w:r>
          </w:p>
        </w:tc>
      </w:tr>
      <w:tr w:rsidR="00F45184" w:rsidRPr="00F63E07" w:rsidTr="00866BA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2015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150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269</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205</w:t>
            </w:r>
          </w:p>
        </w:tc>
      </w:tr>
      <w:tr w:rsidR="00F45184" w:rsidRPr="00F63E07" w:rsidTr="00866BA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2016</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152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sidRPr="00F63E07">
              <w:rPr>
                <w:rFonts w:ascii="Calibri" w:eastAsia="Times New Roman" w:hAnsi="Calibri" w:cs="Times New Roman"/>
                <w:color w:val="000000"/>
              </w:rPr>
              <w:t> </w:t>
            </w:r>
            <w:r>
              <w:rPr>
                <w:rFonts w:ascii="Calibri" w:eastAsia="Times New Roman" w:hAnsi="Calibri" w:cs="Times New Roman"/>
                <w:color w:val="000000"/>
              </w:rPr>
              <w:t>NA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F45184" w:rsidRPr="00F63E07" w:rsidRDefault="00F45184" w:rsidP="004138AE">
            <w:pPr>
              <w:rPr>
                <w:rFonts w:ascii="Calibri" w:eastAsia="Times New Roman" w:hAnsi="Calibri" w:cs="Times New Roman"/>
                <w:color w:val="000000"/>
              </w:rPr>
            </w:pPr>
            <w:r>
              <w:rPr>
                <w:rFonts w:ascii="Calibri" w:eastAsia="Times New Roman" w:hAnsi="Calibri" w:cs="Times New Roman"/>
                <w:color w:val="000000"/>
              </w:rPr>
              <w:t>NA</w:t>
            </w:r>
          </w:p>
        </w:tc>
      </w:tr>
    </w:tbl>
    <w:p w:rsidR="008449EE" w:rsidRPr="008449EE" w:rsidRDefault="008449EE" w:rsidP="004138AE">
      <w:pPr>
        <w:pStyle w:val="NoSpacing"/>
        <w:jc w:val="both"/>
        <w:rPr>
          <w:rFonts w:ascii="Times New Roman" w:hAnsi="Times New Roman" w:cs="Times New Roman"/>
          <w:b/>
          <w:sz w:val="24"/>
          <w:szCs w:val="24"/>
        </w:rPr>
      </w:pPr>
    </w:p>
    <w:p w:rsidR="00D32EAE" w:rsidRDefault="00D32EAE" w:rsidP="004138AE">
      <w:pPr>
        <w:pStyle w:val="NoSpacing"/>
        <w:jc w:val="both"/>
        <w:rPr>
          <w:rFonts w:ascii="Times New Roman" w:hAnsi="Times New Roman" w:cs="Times New Roman"/>
          <w:sz w:val="24"/>
          <w:szCs w:val="24"/>
        </w:rPr>
      </w:pPr>
    </w:p>
    <w:p w:rsidR="005056DD" w:rsidRDefault="00432747"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w:t>
      </w:r>
      <w:r w:rsidRPr="00CE5F34">
        <w:rPr>
          <w:rFonts w:ascii="Times New Roman" w:hAnsi="Times New Roman" w:cs="Times New Roman"/>
          <w:sz w:val="24"/>
          <w:szCs w:val="24"/>
        </w:rPr>
        <w:t xml:space="preserve">respect of DOMLEC, </w:t>
      </w:r>
      <w:r w:rsidR="0022453A" w:rsidRPr="00CE5F34">
        <w:rPr>
          <w:rFonts w:ascii="Times New Roman" w:hAnsi="Times New Roman" w:cs="Times New Roman"/>
          <w:sz w:val="24"/>
          <w:szCs w:val="24"/>
        </w:rPr>
        <w:t>the number</w:t>
      </w:r>
      <w:r w:rsidR="00B95A4D" w:rsidRPr="00CE5F34">
        <w:rPr>
          <w:rFonts w:ascii="Times New Roman" w:hAnsi="Times New Roman" w:cs="Times New Roman"/>
          <w:sz w:val="24"/>
          <w:szCs w:val="24"/>
        </w:rPr>
        <w:t xml:space="preserve"> of </w:t>
      </w:r>
      <w:r w:rsidR="007D461F" w:rsidRPr="00CE5F34">
        <w:rPr>
          <w:rFonts w:ascii="Times New Roman" w:hAnsi="Times New Roman" w:cs="Times New Roman"/>
          <w:sz w:val="24"/>
          <w:szCs w:val="24"/>
        </w:rPr>
        <w:t>c</w:t>
      </w:r>
      <w:r w:rsidR="004E7D0D" w:rsidRPr="00CE5F34">
        <w:rPr>
          <w:rFonts w:ascii="Times New Roman" w:hAnsi="Times New Roman" w:cs="Times New Roman"/>
          <w:sz w:val="24"/>
          <w:szCs w:val="24"/>
        </w:rPr>
        <w:t xml:space="preserve">ustomers per </w:t>
      </w:r>
      <w:r w:rsidR="00204F40" w:rsidRPr="00CE5F34">
        <w:rPr>
          <w:rFonts w:ascii="Times New Roman" w:hAnsi="Times New Roman" w:cs="Times New Roman"/>
          <w:sz w:val="24"/>
          <w:szCs w:val="24"/>
        </w:rPr>
        <w:t xml:space="preserve">employee </w:t>
      </w:r>
      <w:r w:rsidR="003E4CF2" w:rsidRPr="00CE5F34">
        <w:rPr>
          <w:rFonts w:ascii="Times New Roman" w:hAnsi="Times New Roman" w:cs="Times New Roman"/>
          <w:sz w:val="24"/>
          <w:szCs w:val="24"/>
        </w:rPr>
        <w:t>declined marginally</w:t>
      </w:r>
      <w:r w:rsidR="00FB5EB9" w:rsidRPr="00CE5F34">
        <w:rPr>
          <w:rFonts w:ascii="Times New Roman" w:hAnsi="Times New Roman" w:cs="Times New Roman"/>
          <w:sz w:val="24"/>
          <w:szCs w:val="24"/>
        </w:rPr>
        <w:t xml:space="preserve"> </w:t>
      </w:r>
      <w:r w:rsidR="003E4CF2" w:rsidRPr="00CE5F34">
        <w:rPr>
          <w:rFonts w:ascii="Times New Roman" w:hAnsi="Times New Roman" w:cs="Times New Roman"/>
          <w:sz w:val="24"/>
          <w:szCs w:val="24"/>
        </w:rPr>
        <w:t>from 2012 to 2016</w:t>
      </w:r>
      <w:r w:rsidR="0057013A">
        <w:rPr>
          <w:rFonts w:ascii="Times New Roman" w:hAnsi="Times New Roman" w:cs="Times New Roman"/>
          <w:sz w:val="24"/>
          <w:szCs w:val="24"/>
        </w:rPr>
        <w:t xml:space="preserve">. </w:t>
      </w:r>
      <w:r w:rsidR="008449EE" w:rsidRPr="0057013A">
        <w:rPr>
          <w:rFonts w:ascii="Times New Roman" w:hAnsi="Times New Roman" w:cs="Times New Roman"/>
          <w:sz w:val="24"/>
          <w:szCs w:val="24"/>
        </w:rPr>
        <w:t xml:space="preserve">Over the period of five (5) years, </w:t>
      </w:r>
      <w:r w:rsidR="00751AD9">
        <w:rPr>
          <w:rFonts w:ascii="Times New Roman" w:hAnsi="Times New Roman" w:cs="Times New Roman"/>
          <w:sz w:val="24"/>
          <w:szCs w:val="24"/>
        </w:rPr>
        <w:t>the</w:t>
      </w:r>
      <w:r w:rsidR="0057013A" w:rsidRPr="0057013A">
        <w:rPr>
          <w:rFonts w:ascii="Times New Roman" w:hAnsi="Times New Roman" w:cs="Times New Roman"/>
          <w:sz w:val="24"/>
          <w:szCs w:val="24"/>
        </w:rPr>
        <w:t xml:space="preserve"> </w:t>
      </w:r>
      <w:r w:rsidR="0022453A" w:rsidRPr="0057013A">
        <w:rPr>
          <w:rFonts w:ascii="Times New Roman" w:hAnsi="Times New Roman" w:cs="Times New Roman"/>
          <w:sz w:val="24"/>
          <w:szCs w:val="24"/>
        </w:rPr>
        <w:t>number of</w:t>
      </w:r>
      <w:r w:rsidR="00B95A4D" w:rsidRPr="0057013A">
        <w:rPr>
          <w:rFonts w:ascii="Times New Roman" w:hAnsi="Times New Roman" w:cs="Times New Roman"/>
          <w:sz w:val="24"/>
          <w:szCs w:val="24"/>
        </w:rPr>
        <w:t xml:space="preserve"> customers per </w:t>
      </w:r>
      <w:r w:rsidR="0022453A" w:rsidRPr="0057013A">
        <w:rPr>
          <w:rFonts w:ascii="Times New Roman" w:hAnsi="Times New Roman" w:cs="Times New Roman"/>
          <w:sz w:val="24"/>
          <w:szCs w:val="24"/>
        </w:rPr>
        <w:t xml:space="preserve">employee </w:t>
      </w:r>
      <w:r w:rsidR="0057013A" w:rsidRPr="0057013A">
        <w:rPr>
          <w:rFonts w:ascii="Times New Roman" w:hAnsi="Times New Roman" w:cs="Times New Roman"/>
          <w:sz w:val="24"/>
          <w:szCs w:val="24"/>
        </w:rPr>
        <w:t xml:space="preserve">increased </w:t>
      </w:r>
      <w:r w:rsidR="00751AD9">
        <w:rPr>
          <w:rFonts w:ascii="Times New Roman" w:hAnsi="Times New Roman" w:cs="Times New Roman"/>
          <w:sz w:val="24"/>
          <w:szCs w:val="24"/>
        </w:rPr>
        <w:t xml:space="preserve">in all three </w:t>
      </w:r>
      <w:r w:rsidR="0022453A" w:rsidRPr="0057013A">
        <w:rPr>
          <w:rFonts w:ascii="Times New Roman" w:hAnsi="Times New Roman" w:cs="Times New Roman"/>
          <w:sz w:val="24"/>
          <w:szCs w:val="24"/>
        </w:rPr>
        <w:t xml:space="preserve">electric utilities </w:t>
      </w:r>
      <w:r w:rsidR="00B95A4D" w:rsidRPr="0057013A">
        <w:rPr>
          <w:rFonts w:ascii="Times New Roman" w:hAnsi="Times New Roman" w:cs="Times New Roman"/>
          <w:sz w:val="24"/>
          <w:szCs w:val="24"/>
        </w:rPr>
        <w:t>in the OECS</w:t>
      </w:r>
      <w:r w:rsidR="0022453A" w:rsidRPr="0057013A">
        <w:rPr>
          <w:rFonts w:ascii="Times New Roman" w:hAnsi="Times New Roman" w:cs="Times New Roman"/>
          <w:sz w:val="24"/>
          <w:szCs w:val="24"/>
        </w:rPr>
        <w:t>.</w:t>
      </w:r>
      <w:r w:rsidR="00B95A4D" w:rsidRPr="0057013A">
        <w:rPr>
          <w:rFonts w:ascii="Times New Roman" w:hAnsi="Times New Roman" w:cs="Times New Roman"/>
          <w:sz w:val="24"/>
          <w:szCs w:val="24"/>
        </w:rPr>
        <w:t xml:space="preserve"> </w:t>
      </w:r>
      <w:r w:rsidR="008449EE" w:rsidRPr="00751AD9">
        <w:rPr>
          <w:rFonts w:ascii="Times New Roman" w:hAnsi="Times New Roman" w:cs="Times New Roman"/>
          <w:sz w:val="24"/>
          <w:szCs w:val="24"/>
        </w:rPr>
        <w:t xml:space="preserve">It </w:t>
      </w:r>
      <w:r w:rsidR="00751AD9" w:rsidRPr="00751AD9">
        <w:rPr>
          <w:rFonts w:ascii="Times New Roman" w:hAnsi="Times New Roman" w:cs="Times New Roman"/>
          <w:sz w:val="24"/>
          <w:szCs w:val="24"/>
        </w:rPr>
        <w:t>should be</w:t>
      </w:r>
      <w:r w:rsidR="008449EE" w:rsidRPr="00751AD9">
        <w:rPr>
          <w:rFonts w:ascii="Times New Roman" w:hAnsi="Times New Roman" w:cs="Times New Roman"/>
          <w:sz w:val="24"/>
          <w:szCs w:val="24"/>
        </w:rPr>
        <w:t xml:space="preserve"> noted that </w:t>
      </w:r>
      <w:r w:rsidR="00751AD9" w:rsidRPr="00751AD9">
        <w:rPr>
          <w:rFonts w:ascii="Times New Roman" w:hAnsi="Times New Roman" w:cs="Times New Roman"/>
          <w:sz w:val="24"/>
          <w:szCs w:val="24"/>
        </w:rPr>
        <w:t xml:space="preserve">the number of full time employees at </w:t>
      </w:r>
      <w:r w:rsidR="008449EE" w:rsidRPr="00751AD9">
        <w:rPr>
          <w:rFonts w:ascii="Times New Roman" w:hAnsi="Times New Roman" w:cs="Times New Roman"/>
          <w:sz w:val="24"/>
          <w:szCs w:val="24"/>
        </w:rPr>
        <w:t xml:space="preserve">DOMLEC </w:t>
      </w:r>
      <w:r w:rsidR="00751AD9" w:rsidRPr="00751AD9">
        <w:rPr>
          <w:rFonts w:ascii="Times New Roman" w:hAnsi="Times New Roman" w:cs="Times New Roman"/>
          <w:sz w:val="24"/>
          <w:szCs w:val="24"/>
        </w:rPr>
        <w:t>increased while it decreased at</w:t>
      </w:r>
      <w:r w:rsidR="008449EE" w:rsidRPr="00751AD9">
        <w:rPr>
          <w:rFonts w:ascii="Times New Roman" w:hAnsi="Times New Roman" w:cs="Times New Roman"/>
          <w:sz w:val="24"/>
          <w:szCs w:val="24"/>
        </w:rPr>
        <w:t xml:space="preserve"> LUCELEC and GRENLEC</w:t>
      </w:r>
      <w:r w:rsidR="00751AD9">
        <w:rPr>
          <w:rFonts w:ascii="Times New Roman" w:hAnsi="Times New Roman" w:cs="Times New Roman"/>
          <w:sz w:val="24"/>
          <w:szCs w:val="24"/>
        </w:rPr>
        <w:t xml:space="preserve">. </w:t>
      </w:r>
    </w:p>
    <w:p w:rsidR="00013FF7" w:rsidRDefault="00013FF7" w:rsidP="004138AE">
      <w:pPr>
        <w:pStyle w:val="NoSpacing"/>
        <w:jc w:val="both"/>
        <w:outlineLvl w:val="2"/>
        <w:rPr>
          <w:rFonts w:ascii="Times New Roman" w:hAnsi="Times New Roman" w:cs="Times New Roman"/>
          <w:b/>
          <w:sz w:val="24"/>
          <w:szCs w:val="24"/>
        </w:rPr>
      </w:pPr>
    </w:p>
    <w:p w:rsidR="001772B1" w:rsidRDefault="001772B1" w:rsidP="004138AE">
      <w:pPr>
        <w:pStyle w:val="NoSpacing"/>
        <w:jc w:val="both"/>
        <w:outlineLvl w:val="2"/>
        <w:rPr>
          <w:rFonts w:ascii="Times New Roman" w:hAnsi="Times New Roman" w:cs="Times New Roman"/>
          <w:b/>
          <w:sz w:val="24"/>
          <w:szCs w:val="24"/>
        </w:rPr>
      </w:pPr>
      <w:bookmarkStart w:id="21" w:name="_Toc485128750"/>
    </w:p>
    <w:p w:rsidR="002119FC" w:rsidRPr="000B28AC" w:rsidRDefault="00B45711" w:rsidP="004138AE">
      <w:pPr>
        <w:pStyle w:val="NoSpacing"/>
        <w:jc w:val="both"/>
        <w:outlineLvl w:val="2"/>
        <w:rPr>
          <w:rFonts w:ascii="Times New Roman" w:hAnsi="Times New Roman" w:cs="Times New Roman"/>
          <w:b/>
          <w:sz w:val="24"/>
          <w:szCs w:val="24"/>
        </w:rPr>
      </w:pPr>
      <w:r w:rsidRPr="000B28AC">
        <w:rPr>
          <w:rFonts w:ascii="Times New Roman" w:hAnsi="Times New Roman" w:cs="Times New Roman"/>
          <w:b/>
          <w:sz w:val="24"/>
          <w:szCs w:val="24"/>
        </w:rPr>
        <w:t xml:space="preserve">c. </w:t>
      </w:r>
      <w:r w:rsidR="00BD3A46">
        <w:rPr>
          <w:rFonts w:ascii="Times New Roman" w:hAnsi="Times New Roman" w:cs="Times New Roman"/>
          <w:b/>
          <w:sz w:val="24"/>
          <w:szCs w:val="24"/>
        </w:rPr>
        <w:t>Electricity</w:t>
      </w:r>
      <w:r w:rsidR="001424E3">
        <w:rPr>
          <w:rFonts w:ascii="Times New Roman" w:hAnsi="Times New Roman" w:cs="Times New Roman"/>
          <w:b/>
          <w:sz w:val="24"/>
          <w:szCs w:val="24"/>
        </w:rPr>
        <w:t xml:space="preserve"> </w:t>
      </w:r>
      <w:r>
        <w:rPr>
          <w:rFonts w:ascii="Times New Roman" w:hAnsi="Times New Roman" w:cs="Times New Roman"/>
          <w:b/>
          <w:sz w:val="24"/>
          <w:szCs w:val="24"/>
        </w:rPr>
        <w:t>Consumption</w:t>
      </w:r>
      <w:r w:rsidR="001424E3">
        <w:rPr>
          <w:rFonts w:ascii="Times New Roman" w:hAnsi="Times New Roman" w:cs="Times New Roman"/>
          <w:b/>
          <w:sz w:val="24"/>
          <w:szCs w:val="24"/>
        </w:rPr>
        <w:t xml:space="preserve"> (kWh)</w:t>
      </w:r>
      <w:r w:rsidR="003D79E8" w:rsidRPr="000B28AC">
        <w:rPr>
          <w:rFonts w:ascii="Times New Roman" w:hAnsi="Times New Roman" w:cs="Times New Roman"/>
          <w:b/>
          <w:sz w:val="24"/>
          <w:szCs w:val="24"/>
        </w:rPr>
        <w:t xml:space="preserve"> per Capita</w:t>
      </w:r>
      <w:bookmarkEnd w:id="21"/>
    </w:p>
    <w:p w:rsidR="002119FC" w:rsidRDefault="002119FC" w:rsidP="004138AE">
      <w:pPr>
        <w:pStyle w:val="NoSpacing"/>
        <w:jc w:val="both"/>
        <w:rPr>
          <w:rFonts w:ascii="Times New Roman" w:hAnsi="Times New Roman" w:cs="Times New Roman"/>
          <w:b/>
          <w:sz w:val="24"/>
          <w:szCs w:val="24"/>
          <w:u w:val="single"/>
        </w:rPr>
      </w:pPr>
    </w:p>
    <w:p w:rsidR="002119FC" w:rsidRDefault="008A3D56" w:rsidP="004138AE">
      <w:pPr>
        <w:pStyle w:val="NoSpacing"/>
        <w:jc w:val="both"/>
        <w:rPr>
          <w:rFonts w:ascii="Times New Roman" w:hAnsi="Times New Roman" w:cs="Times New Roman"/>
          <w:sz w:val="24"/>
          <w:szCs w:val="24"/>
        </w:rPr>
      </w:pPr>
      <w:r>
        <w:rPr>
          <w:rFonts w:ascii="Times New Roman" w:hAnsi="Times New Roman" w:cs="Times New Roman"/>
          <w:sz w:val="24"/>
          <w:szCs w:val="24"/>
        </w:rPr>
        <w:t>Consumption per c</w:t>
      </w:r>
      <w:r w:rsidR="002119FC">
        <w:rPr>
          <w:rFonts w:ascii="Times New Roman" w:hAnsi="Times New Roman" w:cs="Times New Roman"/>
          <w:sz w:val="24"/>
          <w:szCs w:val="24"/>
        </w:rPr>
        <w:t>apita</w:t>
      </w:r>
      <w:r w:rsidR="00811DEC">
        <w:rPr>
          <w:rFonts w:ascii="Times New Roman" w:hAnsi="Times New Roman" w:cs="Times New Roman"/>
          <w:sz w:val="24"/>
          <w:szCs w:val="24"/>
        </w:rPr>
        <w:t xml:space="preserve"> </w:t>
      </w:r>
      <w:r w:rsidR="00E8031F">
        <w:rPr>
          <w:rFonts w:ascii="Times New Roman" w:hAnsi="Times New Roman" w:cs="Times New Roman"/>
          <w:sz w:val="24"/>
          <w:szCs w:val="24"/>
        </w:rPr>
        <w:t>shows</w:t>
      </w:r>
      <w:r w:rsidR="005A569D">
        <w:rPr>
          <w:rFonts w:ascii="Times New Roman" w:hAnsi="Times New Roman" w:cs="Times New Roman"/>
          <w:sz w:val="24"/>
          <w:szCs w:val="24"/>
        </w:rPr>
        <w:t xml:space="preserve"> a country’s average electricity consumption per individual. </w:t>
      </w:r>
      <w:r w:rsidR="00811DEC">
        <w:rPr>
          <w:rFonts w:ascii="Times New Roman" w:hAnsi="Times New Roman" w:cs="Times New Roman"/>
          <w:sz w:val="24"/>
          <w:szCs w:val="24"/>
        </w:rPr>
        <w:t xml:space="preserve"> </w:t>
      </w:r>
      <w:r w:rsidR="00AE78F5">
        <w:rPr>
          <w:rFonts w:ascii="Times New Roman" w:hAnsi="Times New Roman" w:cs="Times New Roman"/>
          <w:sz w:val="24"/>
          <w:szCs w:val="24"/>
        </w:rPr>
        <w:t>The indicator is calculated as:</w:t>
      </w:r>
    </w:p>
    <w:p w:rsidR="00AE78F5" w:rsidRDefault="00AE78F5" w:rsidP="004138AE">
      <w:pPr>
        <w:pStyle w:val="NoSpacing"/>
        <w:jc w:val="both"/>
        <w:rPr>
          <w:rFonts w:ascii="Times New Roman" w:hAnsi="Times New Roman" w:cs="Times New Roman"/>
          <w:sz w:val="24"/>
          <w:szCs w:val="24"/>
        </w:rPr>
      </w:pPr>
    </w:p>
    <w:p w:rsidR="00AE78F5" w:rsidRDefault="00AE78F5"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Consumption per </w:t>
      </w:r>
      <w:r w:rsidR="0034487A">
        <w:rPr>
          <w:rFonts w:ascii="Times New Roman" w:hAnsi="Times New Roman" w:cs="Times New Roman"/>
          <w:sz w:val="24"/>
          <w:szCs w:val="24"/>
        </w:rPr>
        <w:t>Capita = Total</w:t>
      </w:r>
      <w:r>
        <w:rPr>
          <w:rFonts w:ascii="Times New Roman" w:hAnsi="Times New Roman" w:cs="Times New Roman"/>
          <w:sz w:val="24"/>
          <w:szCs w:val="24"/>
        </w:rPr>
        <w:t xml:space="preserve"> Energy Sold/ </w:t>
      </w:r>
      <w:r w:rsidR="0034487A">
        <w:rPr>
          <w:rFonts w:ascii="Times New Roman" w:hAnsi="Times New Roman" w:cs="Times New Roman"/>
          <w:sz w:val="24"/>
          <w:szCs w:val="24"/>
        </w:rPr>
        <w:t>Total population</w:t>
      </w:r>
    </w:p>
    <w:p w:rsidR="005A569D" w:rsidRDefault="005A569D" w:rsidP="004138AE">
      <w:pPr>
        <w:pStyle w:val="NoSpacing"/>
        <w:jc w:val="both"/>
        <w:rPr>
          <w:rFonts w:ascii="Times New Roman" w:hAnsi="Times New Roman" w:cs="Times New Roman"/>
          <w:sz w:val="24"/>
          <w:szCs w:val="24"/>
        </w:rPr>
      </w:pPr>
    </w:p>
    <w:p w:rsidR="007D6597" w:rsidRDefault="007D6597" w:rsidP="004138AE">
      <w:pPr>
        <w:pStyle w:val="NoSpacing"/>
        <w:jc w:val="both"/>
        <w:rPr>
          <w:rFonts w:ascii="Times New Roman" w:hAnsi="Times New Roman" w:cs="Times New Roman"/>
          <w:sz w:val="24"/>
          <w:szCs w:val="24"/>
        </w:rPr>
      </w:pPr>
    </w:p>
    <w:p w:rsidR="007D6597" w:rsidRDefault="00F4012A"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D3A46">
        <w:rPr>
          <w:rFonts w:ascii="Times New Roman" w:hAnsi="Times New Roman" w:cs="Times New Roman"/>
          <w:b/>
          <w:sz w:val="24"/>
          <w:szCs w:val="24"/>
        </w:rPr>
        <w:t>Table 11:  Electricity</w:t>
      </w:r>
      <w:r w:rsidR="007D6597" w:rsidRPr="00F23919">
        <w:rPr>
          <w:rFonts w:ascii="Times New Roman" w:hAnsi="Times New Roman" w:cs="Times New Roman"/>
          <w:b/>
          <w:sz w:val="24"/>
          <w:szCs w:val="24"/>
        </w:rPr>
        <w:t xml:space="preserve"> Consumption</w:t>
      </w:r>
      <w:r w:rsidR="00BD3A46">
        <w:rPr>
          <w:rFonts w:ascii="Times New Roman" w:hAnsi="Times New Roman" w:cs="Times New Roman"/>
          <w:b/>
          <w:sz w:val="24"/>
          <w:szCs w:val="24"/>
        </w:rPr>
        <w:t xml:space="preserve"> Per Capita (kWh) 2012 - 2016</w:t>
      </w:r>
    </w:p>
    <w:p w:rsidR="00F23919" w:rsidRPr="00F23919" w:rsidRDefault="00F23919" w:rsidP="004138AE">
      <w:pPr>
        <w:pStyle w:val="NoSpacing"/>
        <w:jc w:val="both"/>
        <w:rPr>
          <w:rFonts w:ascii="Times New Roman" w:hAnsi="Times New Roman" w:cs="Times New Roman"/>
          <w:b/>
          <w:sz w:val="24"/>
          <w:szCs w:val="24"/>
        </w:rPr>
      </w:pPr>
    </w:p>
    <w:tbl>
      <w:tblPr>
        <w:tblStyle w:val="TableGrid"/>
        <w:tblW w:w="0" w:type="auto"/>
        <w:tblInd w:w="828" w:type="dxa"/>
        <w:tblLook w:val="04A0"/>
      </w:tblPr>
      <w:tblGrid>
        <w:gridCol w:w="1511"/>
        <w:gridCol w:w="1459"/>
        <w:gridCol w:w="1080"/>
        <w:gridCol w:w="1620"/>
        <w:gridCol w:w="990"/>
        <w:gridCol w:w="990"/>
      </w:tblGrid>
      <w:tr w:rsidR="00697650" w:rsidTr="00F4012A">
        <w:tc>
          <w:tcPr>
            <w:tcW w:w="1511" w:type="dxa"/>
          </w:tcPr>
          <w:p w:rsidR="00697650" w:rsidRPr="00F23919" w:rsidRDefault="00697650" w:rsidP="004138AE">
            <w:pPr>
              <w:pStyle w:val="NoSpacing"/>
              <w:jc w:val="both"/>
              <w:rPr>
                <w:rFonts w:ascii="Times New Roman" w:hAnsi="Times New Roman" w:cs="Times New Roman"/>
                <w:b/>
                <w:sz w:val="24"/>
                <w:szCs w:val="24"/>
              </w:rPr>
            </w:pPr>
            <w:r w:rsidRPr="00F23919">
              <w:rPr>
                <w:rFonts w:ascii="Times New Roman" w:hAnsi="Times New Roman" w:cs="Times New Roman"/>
                <w:b/>
                <w:sz w:val="24"/>
                <w:szCs w:val="24"/>
              </w:rPr>
              <w:t>Countries</w:t>
            </w:r>
          </w:p>
        </w:tc>
        <w:tc>
          <w:tcPr>
            <w:tcW w:w="1459" w:type="dxa"/>
          </w:tcPr>
          <w:p w:rsidR="00697650" w:rsidRPr="00F23919" w:rsidRDefault="00697650"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2012</w:t>
            </w:r>
          </w:p>
        </w:tc>
        <w:tc>
          <w:tcPr>
            <w:tcW w:w="1080" w:type="dxa"/>
          </w:tcPr>
          <w:p w:rsidR="00697650" w:rsidRPr="00F23919" w:rsidRDefault="00697650"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2013</w:t>
            </w:r>
          </w:p>
        </w:tc>
        <w:tc>
          <w:tcPr>
            <w:tcW w:w="1620" w:type="dxa"/>
          </w:tcPr>
          <w:p w:rsidR="00697650" w:rsidRPr="00F23919" w:rsidRDefault="00697650"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2014</w:t>
            </w:r>
          </w:p>
        </w:tc>
        <w:tc>
          <w:tcPr>
            <w:tcW w:w="990" w:type="dxa"/>
          </w:tcPr>
          <w:p w:rsidR="00697650" w:rsidRPr="00F23919" w:rsidRDefault="00697650"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2015</w:t>
            </w:r>
          </w:p>
        </w:tc>
        <w:tc>
          <w:tcPr>
            <w:tcW w:w="990" w:type="dxa"/>
          </w:tcPr>
          <w:p w:rsidR="00697650" w:rsidRPr="00F23919" w:rsidRDefault="00697650"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201</w:t>
            </w:r>
            <w:r w:rsidR="006A4824">
              <w:rPr>
                <w:rFonts w:ascii="Times New Roman" w:hAnsi="Times New Roman" w:cs="Times New Roman"/>
                <w:b/>
                <w:sz w:val="24"/>
                <w:szCs w:val="24"/>
              </w:rPr>
              <w:t>6</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Trinidad </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6,628</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6,876</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7,456</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Suriname</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3,243</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Jamaica</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1,154</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1,126</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942</w:t>
            </w:r>
          </w:p>
        </w:tc>
        <w:tc>
          <w:tcPr>
            <w:tcW w:w="990" w:type="dxa"/>
          </w:tcPr>
          <w:p w:rsidR="00697650" w:rsidRDefault="00697650" w:rsidP="004138AE">
            <w:pPr>
              <w:pStyle w:val="NoSpacing"/>
              <w:jc w:val="both"/>
              <w:rPr>
                <w:rFonts w:ascii="Times New Roman" w:hAnsi="Times New Roman" w:cs="Times New Roman"/>
                <w:sz w:val="24"/>
                <w:szCs w:val="24"/>
              </w:rPr>
            </w:pPr>
          </w:p>
        </w:tc>
        <w:tc>
          <w:tcPr>
            <w:tcW w:w="990" w:type="dxa"/>
          </w:tcPr>
          <w:p w:rsidR="00697650" w:rsidRDefault="00697650" w:rsidP="004138AE">
            <w:pPr>
              <w:pStyle w:val="NoSpacing"/>
              <w:jc w:val="both"/>
              <w:rPr>
                <w:rFonts w:ascii="Times New Roman" w:hAnsi="Times New Roman" w:cs="Times New Roman"/>
                <w:sz w:val="24"/>
                <w:szCs w:val="24"/>
              </w:rPr>
            </w:pP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Grenada</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1,658</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1,619</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1,738</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1764</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St Lucia</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1,970</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1,956</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1,922</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1,953</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Dominica</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1,263</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1,254</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1,273</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1,326</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1,388</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Guyana</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1,087</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St Kitts</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3,821</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St Vincent</w:t>
            </w:r>
          </w:p>
        </w:tc>
        <w:tc>
          <w:tcPr>
            <w:tcW w:w="1459"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08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977</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697650" w:rsidRDefault="006A4824"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126DFC" w:rsidP="004138AE">
            <w:pPr>
              <w:pStyle w:val="NoSpacing"/>
              <w:jc w:val="both"/>
              <w:rPr>
                <w:rFonts w:ascii="Times New Roman" w:hAnsi="Times New Roman" w:cs="Times New Roman"/>
                <w:sz w:val="24"/>
                <w:szCs w:val="24"/>
              </w:rPr>
            </w:pPr>
            <w:r>
              <w:rPr>
                <w:rFonts w:ascii="Times New Roman" w:hAnsi="Times New Roman" w:cs="Times New Roman"/>
                <w:sz w:val="24"/>
                <w:szCs w:val="24"/>
              </w:rPr>
              <w:t>Ivory Coast</w:t>
            </w:r>
          </w:p>
        </w:tc>
        <w:tc>
          <w:tcPr>
            <w:tcW w:w="1459"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08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697650" w:rsidRDefault="00126DFC" w:rsidP="004138AE">
            <w:pPr>
              <w:pStyle w:val="NoSpacing"/>
              <w:jc w:val="both"/>
              <w:rPr>
                <w:rFonts w:ascii="Times New Roman" w:hAnsi="Times New Roman" w:cs="Times New Roman"/>
                <w:sz w:val="24"/>
                <w:szCs w:val="24"/>
              </w:rPr>
            </w:pPr>
            <w:r>
              <w:rPr>
                <w:rFonts w:ascii="Times New Roman" w:hAnsi="Times New Roman" w:cs="Times New Roman"/>
                <w:sz w:val="24"/>
                <w:szCs w:val="24"/>
              </w:rPr>
              <w:t>244</w:t>
            </w:r>
          </w:p>
        </w:tc>
        <w:tc>
          <w:tcPr>
            <w:tcW w:w="99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India</w:t>
            </w:r>
          </w:p>
        </w:tc>
        <w:tc>
          <w:tcPr>
            <w:tcW w:w="1459"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725</w:t>
            </w:r>
          </w:p>
        </w:tc>
        <w:tc>
          <w:tcPr>
            <w:tcW w:w="108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765</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768</w:t>
            </w:r>
          </w:p>
        </w:tc>
        <w:tc>
          <w:tcPr>
            <w:tcW w:w="99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r w:rsidR="00697650" w:rsidTr="00F4012A">
        <w:tc>
          <w:tcPr>
            <w:tcW w:w="1511"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Antigua</w:t>
            </w:r>
          </w:p>
        </w:tc>
        <w:tc>
          <w:tcPr>
            <w:tcW w:w="1459"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08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697650" w:rsidRDefault="00697650" w:rsidP="004138AE">
            <w:pPr>
              <w:pStyle w:val="NoSpacing"/>
              <w:jc w:val="both"/>
              <w:rPr>
                <w:rFonts w:ascii="Times New Roman" w:hAnsi="Times New Roman" w:cs="Times New Roman"/>
                <w:sz w:val="24"/>
                <w:szCs w:val="24"/>
              </w:rPr>
            </w:pPr>
            <w:r>
              <w:rPr>
                <w:rFonts w:ascii="Times New Roman" w:hAnsi="Times New Roman" w:cs="Times New Roman"/>
                <w:sz w:val="24"/>
                <w:szCs w:val="24"/>
              </w:rPr>
              <w:t>3,205</w:t>
            </w:r>
          </w:p>
        </w:tc>
        <w:tc>
          <w:tcPr>
            <w:tcW w:w="99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990" w:type="dxa"/>
          </w:tcPr>
          <w:p w:rsidR="00697650"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NA</w:t>
            </w:r>
          </w:p>
        </w:tc>
      </w:tr>
    </w:tbl>
    <w:p w:rsidR="007D6597" w:rsidRDefault="00F4012A" w:rsidP="004138AE">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1F674D" w:rsidRPr="001F674D">
        <w:rPr>
          <w:rFonts w:ascii="Times New Roman" w:hAnsi="Times New Roman" w:cs="Times New Roman"/>
          <w:sz w:val="20"/>
          <w:szCs w:val="20"/>
        </w:rPr>
        <w:t>Source</w:t>
      </w:r>
      <w:r w:rsidR="001F674D">
        <w:rPr>
          <w:rStyle w:val="FootnoteReference"/>
          <w:rFonts w:ascii="Times New Roman" w:hAnsi="Times New Roman" w:cs="Times New Roman"/>
          <w:sz w:val="20"/>
          <w:szCs w:val="20"/>
        </w:rPr>
        <w:footnoteReference w:id="10"/>
      </w:r>
    </w:p>
    <w:p w:rsidR="00316D0E" w:rsidRPr="001F674D" w:rsidRDefault="00F4012A" w:rsidP="004138AE">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316D0E">
        <w:rPr>
          <w:rFonts w:ascii="Times New Roman" w:hAnsi="Times New Roman" w:cs="Times New Roman"/>
          <w:sz w:val="20"/>
          <w:szCs w:val="20"/>
        </w:rPr>
        <w:t>Source</w:t>
      </w:r>
      <w:r w:rsidR="00316D0E">
        <w:rPr>
          <w:rStyle w:val="FootnoteReference"/>
          <w:rFonts w:ascii="Times New Roman" w:hAnsi="Times New Roman" w:cs="Times New Roman"/>
          <w:sz w:val="20"/>
          <w:szCs w:val="20"/>
        </w:rPr>
        <w:footnoteReference w:id="11"/>
      </w:r>
    </w:p>
    <w:p w:rsidR="001F674D" w:rsidRDefault="001F674D" w:rsidP="004138AE">
      <w:pPr>
        <w:pStyle w:val="NoSpacing"/>
        <w:jc w:val="both"/>
        <w:rPr>
          <w:rFonts w:ascii="Times New Roman" w:hAnsi="Times New Roman" w:cs="Times New Roman"/>
          <w:sz w:val="24"/>
          <w:szCs w:val="24"/>
        </w:rPr>
      </w:pPr>
    </w:p>
    <w:p w:rsidR="007D6597" w:rsidRDefault="007D6597" w:rsidP="004138AE">
      <w:pPr>
        <w:pStyle w:val="NoSpacing"/>
        <w:jc w:val="both"/>
        <w:rPr>
          <w:rFonts w:ascii="Times New Roman" w:hAnsi="Times New Roman" w:cs="Times New Roman"/>
          <w:sz w:val="24"/>
          <w:szCs w:val="24"/>
        </w:rPr>
      </w:pPr>
    </w:p>
    <w:p w:rsidR="00F23919"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Table 11</w:t>
      </w:r>
      <w:r w:rsidR="00D8733B">
        <w:rPr>
          <w:rFonts w:ascii="Times New Roman" w:hAnsi="Times New Roman" w:cs="Times New Roman"/>
          <w:sz w:val="24"/>
          <w:szCs w:val="24"/>
        </w:rPr>
        <w:t xml:space="preserve"> shows</w:t>
      </w:r>
      <w:r w:rsidR="00522288">
        <w:rPr>
          <w:rFonts w:ascii="Times New Roman" w:hAnsi="Times New Roman" w:cs="Times New Roman"/>
          <w:sz w:val="24"/>
          <w:szCs w:val="24"/>
        </w:rPr>
        <w:t xml:space="preserve"> that</w:t>
      </w:r>
      <w:r w:rsidR="00A47FEE">
        <w:rPr>
          <w:rFonts w:ascii="Times New Roman" w:hAnsi="Times New Roman" w:cs="Times New Roman"/>
          <w:sz w:val="24"/>
          <w:szCs w:val="24"/>
        </w:rPr>
        <w:t xml:space="preserve"> </w:t>
      </w:r>
      <w:r w:rsidR="00126DFC">
        <w:rPr>
          <w:rFonts w:ascii="Times New Roman" w:hAnsi="Times New Roman" w:cs="Times New Roman"/>
          <w:sz w:val="24"/>
          <w:szCs w:val="24"/>
        </w:rPr>
        <w:t>the electricity</w:t>
      </w:r>
      <w:r>
        <w:rPr>
          <w:rFonts w:ascii="Times New Roman" w:hAnsi="Times New Roman" w:cs="Times New Roman"/>
          <w:sz w:val="24"/>
          <w:szCs w:val="24"/>
        </w:rPr>
        <w:t xml:space="preserve"> </w:t>
      </w:r>
      <w:r w:rsidR="004138AE">
        <w:rPr>
          <w:rFonts w:ascii="Times New Roman" w:hAnsi="Times New Roman" w:cs="Times New Roman"/>
          <w:sz w:val="24"/>
          <w:szCs w:val="24"/>
        </w:rPr>
        <w:t>consumption</w:t>
      </w:r>
      <w:r w:rsidR="003D79E8" w:rsidRPr="00D74602">
        <w:rPr>
          <w:rFonts w:ascii="Times New Roman" w:hAnsi="Times New Roman" w:cs="Times New Roman"/>
          <w:sz w:val="24"/>
          <w:szCs w:val="24"/>
        </w:rPr>
        <w:t xml:space="preserve"> per capita</w:t>
      </w:r>
      <w:r w:rsidR="005A569D">
        <w:rPr>
          <w:rFonts w:ascii="Times New Roman" w:hAnsi="Times New Roman" w:cs="Times New Roman"/>
          <w:sz w:val="24"/>
          <w:szCs w:val="24"/>
        </w:rPr>
        <w:t xml:space="preserve"> in Dominica</w:t>
      </w:r>
      <w:r w:rsidR="003D79E8" w:rsidRPr="00D74602">
        <w:rPr>
          <w:rFonts w:ascii="Times New Roman" w:hAnsi="Times New Roman" w:cs="Times New Roman"/>
          <w:sz w:val="24"/>
          <w:szCs w:val="24"/>
        </w:rPr>
        <w:t xml:space="preserve"> </w:t>
      </w:r>
      <w:r w:rsidR="00522288">
        <w:rPr>
          <w:rFonts w:ascii="Times New Roman" w:hAnsi="Times New Roman" w:cs="Times New Roman"/>
          <w:sz w:val="24"/>
          <w:szCs w:val="24"/>
        </w:rPr>
        <w:t xml:space="preserve">increased </w:t>
      </w:r>
      <w:r w:rsidR="00325412">
        <w:rPr>
          <w:rFonts w:ascii="Times New Roman" w:hAnsi="Times New Roman" w:cs="Times New Roman"/>
          <w:sz w:val="24"/>
          <w:szCs w:val="24"/>
        </w:rPr>
        <w:t xml:space="preserve">significantly </w:t>
      </w:r>
      <w:r w:rsidR="00522288">
        <w:rPr>
          <w:rFonts w:ascii="Times New Roman" w:hAnsi="Times New Roman" w:cs="Times New Roman"/>
          <w:sz w:val="24"/>
          <w:szCs w:val="24"/>
        </w:rPr>
        <w:t xml:space="preserve">over </w:t>
      </w:r>
      <w:r w:rsidR="002F56CC">
        <w:rPr>
          <w:rFonts w:ascii="Times New Roman" w:hAnsi="Times New Roman" w:cs="Times New Roman"/>
          <w:sz w:val="24"/>
          <w:szCs w:val="24"/>
        </w:rPr>
        <w:t xml:space="preserve">the past 5 </w:t>
      </w:r>
      <w:r w:rsidR="00F602E8">
        <w:rPr>
          <w:rFonts w:ascii="Times New Roman" w:hAnsi="Times New Roman" w:cs="Times New Roman"/>
          <w:sz w:val="24"/>
          <w:szCs w:val="24"/>
        </w:rPr>
        <w:t xml:space="preserve">years. </w:t>
      </w:r>
      <w:r w:rsidR="00522288">
        <w:rPr>
          <w:rFonts w:ascii="Times New Roman" w:hAnsi="Times New Roman" w:cs="Times New Roman"/>
          <w:sz w:val="24"/>
          <w:szCs w:val="24"/>
        </w:rPr>
        <w:t>The statistic gre</w:t>
      </w:r>
      <w:r w:rsidR="00A14C82">
        <w:rPr>
          <w:rFonts w:ascii="Times New Roman" w:hAnsi="Times New Roman" w:cs="Times New Roman"/>
          <w:sz w:val="24"/>
          <w:szCs w:val="24"/>
        </w:rPr>
        <w:t>w by 9.47</w:t>
      </w:r>
      <w:r w:rsidR="00522288">
        <w:rPr>
          <w:rFonts w:ascii="Times New Roman" w:hAnsi="Times New Roman" w:cs="Times New Roman"/>
          <w:sz w:val="24"/>
          <w:szCs w:val="24"/>
        </w:rPr>
        <w:t xml:space="preserve">% from 2012 to 2016.  </w:t>
      </w:r>
      <w:r w:rsidR="00F41ED2">
        <w:rPr>
          <w:rFonts w:ascii="Times New Roman" w:hAnsi="Times New Roman" w:cs="Times New Roman"/>
          <w:sz w:val="24"/>
          <w:szCs w:val="24"/>
        </w:rPr>
        <w:t>T</w:t>
      </w:r>
      <w:r w:rsidR="00522288">
        <w:rPr>
          <w:rFonts w:ascii="Times New Roman" w:hAnsi="Times New Roman" w:cs="Times New Roman"/>
          <w:sz w:val="24"/>
          <w:szCs w:val="24"/>
        </w:rPr>
        <w:t xml:space="preserve">he major growth was attained </w:t>
      </w:r>
      <w:r w:rsidR="00AE4CB8">
        <w:rPr>
          <w:rFonts w:ascii="Times New Roman" w:hAnsi="Times New Roman" w:cs="Times New Roman"/>
          <w:sz w:val="24"/>
          <w:szCs w:val="24"/>
        </w:rPr>
        <w:t xml:space="preserve">from </w:t>
      </w:r>
      <w:r w:rsidR="00AE4CB8" w:rsidRPr="00325412">
        <w:rPr>
          <w:rFonts w:ascii="Times New Roman" w:hAnsi="Times New Roman" w:cs="Times New Roman"/>
          <w:sz w:val="24"/>
          <w:szCs w:val="24"/>
        </w:rPr>
        <w:t>2014 to 2016</w:t>
      </w:r>
      <w:r w:rsidR="00F602E8" w:rsidRPr="00325412">
        <w:rPr>
          <w:rFonts w:ascii="Times New Roman" w:hAnsi="Times New Roman" w:cs="Times New Roman"/>
          <w:sz w:val="24"/>
          <w:szCs w:val="24"/>
        </w:rPr>
        <w:t xml:space="preserve"> when</w:t>
      </w:r>
      <w:r w:rsidR="002F56CC" w:rsidRPr="00325412">
        <w:rPr>
          <w:rFonts w:ascii="Times New Roman" w:hAnsi="Times New Roman" w:cs="Times New Roman"/>
          <w:sz w:val="24"/>
          <w:szCs w:val="24"/>
        </w:rPr>
        <w:t xml:space="preserve"> energy sales (kWh) increased by 2%, 4.2% and 4.7% respectively.</w:t>
      </w:r>
      <w:r w:rsidR="002F56CC">
        <w:rPr>
          <w:rFonts w:ascii="Times New Roman" w:hAnsi="Times New Roman" w:cs="Times New Roman"/>
          <w:sz w:val="24"/>
          <w:szCs w:val="24"/>
        </w:rPr>
        <w:t xml:space="preserve"> </w:t>
      </w:r>
      <w:r w:rsidR="00AE4CB8">
        <w:rPr>
          <w:rFonts w:ascii="Times New Roman" w:hAnsi="Times New Roman" w:cs="Times New Roman"/>
          <w:sz w:val="24"/>
          <w:szCs w:val="24"/>
        </w:rPr>
        <w:t xml:space="preserve"> This </w:t>
      </w:r>
      <w:r w:rsidR="00812E3D">
        <w:rPr>
          <w:rFonts w:ascii="Times New Roman" w:hAnsi="Times New Roman" w:cs="Times New Roman"/>
          <w:sz w:val="24"/>
          <w:szCs w:val="24"/>
        </w:rPr>
        <w:t xml:space="preserve">gives </w:t>
      </w:r>
      <w:r w:rsidR="00AE4CB8">
        <w:rPr>
          <w:rFonts w:ascii="Times New Roman" w:hAnsi="Times New Roman" w:cs="Times New Roman"/>
          <w:sz w:val="24"/>
          <w:szCs w:val="24"/>
        </w:rPr>
        <w:t>a clear indi</w:t>
      </w:r>
      <w:r w:rsidR="00A14C82">
        <w:rPr>
          <w:rFonts w:ascii="Times New Roman" w:hAnsi="Times New Roman" w:cs="Times New Roman"/>
          <w:sz w:val="24"/>
          <w:szCs w:val="24"/>
        </w:rPr>
        <w:t>cation of the increase in electricity</w:t>
      </w:r>
      <w:r w:rsidR="00AE4CB8">
        <w:rPr>
          <w:rFonts w:ascii="Times New Roman" w:hAnsi="Times New Roman" w:cs="Times New Roman"/>
          <w:sz w:val="24"/>
          <w:szCs w:val="24"/>
        </w:rPr>
        <w:t xml:space="preserve"> demand among the populat</w:t>
      </w:r>
      <w:r w:rsidR="00C91A3D">
        <w:rPr>
          <w:rFonts w:ascii="Times New Roman" w:hAnsi="Times New Roman" w:cs="Times New Roman"/>
          <w:sz w:val="24"/>
          <w:szCs w:val="24"/>
        </w:rPr>
        <w:t>ion</w:t>
      </w:r>
      <w:r w:rsidR="00FC267E">
        <w:rPr>
          <w:rFonts w:ascii="Times New Roman" w:hAnsi="Times New Roman" w:cs="Times New Roman"/>
          <w:sz w:val="24"/>
          <w:szCs w:val="24"/>
        </w:rPr>
        <w:t xml:space="preserve">.  </w:t>
      </w:r>
    </w:p>
    <w:p w:rsidR="00F23919" w:rsidRDefault="00F23919" w:rsidP="004138AE">
      <w:pPr>
        <w:pStyle w:val="NoSpacing"/>
        <w:jc w:val="both"/>
        <w:rPr>
          <w:rFonts w:ascii="Times New Roman" w:hAnsi="Times New Roman" w:cs="Times New Roman"/>
          <w:sz w:val="24"/>
          <w:szCs w:val="24"/>
        </w:rPr>
      </w:pPr>
    </w:p>
    <w:p w:rsidR="00AB5FB8" w:rsidRDefault="00BD3A46"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comparison to </w:t>
      </w:r>
      <w:r w:rsidR="00EE4935">
        <w:rPr>
          <w:rFonts w:ascii="Times New Roman" w:hAnsi="Times New Roman" w:cs="Times New Roman"/>
          <w:sz w:val="24"/>
          <w:szCs w:val="24"/>
        </w:rPr>
        <w:t>most of the</w:t>
      </w:r>
      <w:r>
        <w:rPr>
          <w:rFonts w:ascii="Times New Roman" w:hAnsi="Times New Roman" w:cs="Times New Roman"/>
          <w:sz w:val="24"/>
          <w:szCs w:val="24"/>
        </w:rPr>
        <w:t xml:space="preserve"> OECS </w:t>
      </w:r>
      <w:r w:rsidR="00EE4935">
        <w:rPr>
          <w:rFonts w:ascii="Times New Roman" w:hAnsi="Times New Roman" w:cs="Times New Roman"/>
          <w:sz w:val="24"/>
          <w:szCs w:val="24"/>
        </w:rPr>
        <w:t>countries,</w:t>
      </w:r>
      <w:r w:rsidR="005A5E50">
        <w:rPr>
          <w:rFonts w:ascii="Times New Roman" w:hAnsi="Times New Roman" w:cs="Times New Roman"/>
          <w:sz w:val="24"/>
          <w:szCs w:val="24"/>
        </w:rPr>
        <w:t xml:space="preserve"> </w:t>
      </w:r>
      <w:r w:rsidR="00C91A3D">
        <w:rPr>
          <w:rFonts w:ascii="Times New Roman" w:hAnsi="Times New Roman" w:cs="Times New Roman"/>
          <w:sz w:val="24"/>
          <w:szCs w:val="24"/>
        </w:rPr>
        <w:t>Dominica’s</w:t>
      </w:r>
      <w:r>
        <w:rPr>
          <w:rFonts w:ascii="Times New Roman" w:hAnsi="Times New Roman" w:cs="Times New Roman"/>
          <w:sz w:val="24"/>
          <w:szCs w:val="24"/>
        </w:rPr>
        <w:t xml:space="preserve"> electricity</w:t>
      </w:r>
      <w:r w:rsidR="002F56CC">
        <w:rPr>
          <w:rFonts w:ascii="Times New Roman" w:hAnsi="Times New Roman" w:cs="Times New Roman"/>
          <w:sz w:val="24"/>
          <w:szCs w:val="24"/>
        </w:rPr>
        <w:t xml:space="preserve"> consumption </w:t>
      </w:r>
      <w:r w:rsidR="00C91A3D">
        <w:rPr>
          <w:rFonts w:ascii="Times New Roman" w:hAnsi="Times New Roman" w:cs="Times New Roman"/>
          <w:sz w:val="24"/>
          <w:szCs w:val="24"/>
        </w:rPr>
        <w:t>per</w:t>
      </w:r>
      <w:r w:rsidR="002F56CC">
        <w:rPr>
          <w:rFonts w:ascii="Times New Roman" w:hAnsi="Times New Roman" w:cs="Times New Roman"/>
          <w:sz w:val="24"/>
          <w:szCs w:val="24"/>
        </w:rPr>
        <w:t xml:space="preserve"> </w:t>
      </w:r>
      <w:r w:rsidR="00C91A3D">
        <w:rPr>
          <w:rFonts w:ascii="Times New Roman" w:hAnsi="Times New Roman" w:cs="Times New Roman"/>
          <w:sz w:val="24"/>
          <w:szCs w:val="24"/>
        </w:rPr>
        <w:t xml:space="preserve">capita </w:t>
      </w:r>
      <w:r w:rsidR="00EE4935">
        <w:rPr>
          <w:rFonts w:ascii="Times New Roman" w:hAnsi="Times New Roman" w:cs="Times New Roman"/>
          <w:sz w:val="24"/>
          <w:szCs w:val="24"/>
        </w:rPr>
        <w:t>was considerably</w:t>
      </w:r>
      <w:r w:rsidR="00B70D2A">
        <w:rPr>
          <w:rFonts w:ascii="Times New Roman" w:hAnsi="Times New Roman" w:cs="Times New Roman"/>
          <w:sz w:val="24"/>
          <w:szCs w:val="24"/>
        </w:rPr>
        <w:t xml:space="preserve"> lower </w:t>
      </w:r>
      <w:r w:rsidR="008B7B3E">
        <w:rPr>
          <w:rFonts w:ascii="Times New Roman" w:hAnsi="Times New Roman" w:cs="Times New Roman"/>
          <w:sz w:val="24"/>
          <w:szCs w:val="24"/>
        </w:rPr>
        <w:t>except</w:t>
      </w:r>
      <w:r w:rsidR="007C17A9">
        <w:rPr>
          <w:rFonts w:ascii="Times New Roman" w:hAnsi="Times New Roman" w:cs="Times New Roman"/>
          <w:sz w:val="24"/>
          <w:szCs w:val="24"/>
        </w:rPr>
        <w:t xml:space="preserve"> </w:t>
      </w:r>
      <w:r w:rsidR="008B7B3E">
        <w:rPr>
          <w:rFonts w:ascii="Times New Roman" w:hAnsi="Times New Roman" w:cs="Times New Roman"/>
          <w:sz w:val="24"/>
          <w:szCs w:val="24"/>
        </w:rPr>
        <w:t>that of St. Vincent in 2014 (977</w:t>
      </w:r>
      <w:r w:rsidR="007C17A9">
        <w:rPr>
          <w:rFonts w:ascii="Times New Roman" w:hAnsi="Times New Roman" w:cs="Times New Roman"/>
          <w:sz w:val="24"/>
          <w:szCs w:val="24"/>
        </w:rPr>
        <w:t xml:space="preserve"> kWh</w:t>
      </w:r>
      <w:r w:rsidR="008B7B3E">
        <w:rPr>
          <w:rFonts w:ascii="Times New Roman" w:hAnsi="Times New Roman" w:cs="Times New Roman"/>
          <w:sz w:val="24"/>
          <w:szCs w:val="24"/>
        </w:rPr>
        <w:t>)</w:t>
      </w:r>
      <w:r w:rsidR="007C17A9">
        <w:rPr>
          <w:rFonts w:ascii="Times New Roman" w:hAnsi="Times New Roman" w:cs="Times New Roman"/>
          <w:sz w:val="24"/>
          <w:szCs w:val="24"/>
        </w:rPr>
        <w:t xml:space="preserve">.  </w:t>
      </w:r>
      <w:r w:rsidR="005A5E50">
        <w:rPr>
          <w:rFonts w:ascii="Times New Roman" w:hAnsi="Times New Roman" w:cs="Times New Roman"/>
          <w:sz w:val="24"/>
          <w:szCs w:val="24"/>
        </w:rPr>
        <w:t xml:space="preserve">Although the OECS </w:t>
      </w:r>
      <w:r w:rsidR="00602693">
        <w:rPr>
          <w:rFonts w:ascii="Times New Roman" w:hAnsi="Times New Roman" w:cs="Times New Roman"/>
          <w:sz w:val="24"/>
          <w:szCs w:val="24"/>
        </w:rPr>
        <w:t>countries are comparable in terms of geographic</w:t>
      </w:r>
      <w:r w:rsidR="000A1F15">
        <w:rPr>
          <w:rFonts w:ascii="Times New Roman" w:hAnsi="Times New Roman" w:cs="Times New Roman"/>
          <w:sz w:val="24"/>
          <w:szCs w:val="24"/>
        </w:rPr>
        <w:t>al s</w:t>
      </w:r>
      <w:r w:rsidR="00325412">
        <w:rPr>
          <w:rFonts w:ascii="Times New Roman" w:hAnsi="Times New Roman" w:cs="Times New Roman"/>
          <w:sz w:val="24"/>
          <w:szCs w:val="24"/>
        </w:rPr>
        <w:t>ize</w:t>
      </w:r>
      <w:r w:rsidR="000A1F15">
        <w:rPr>
          <w:rFonts w:ascii="Times New Roman" w:hAnsi="Times New Roman" w:cs="Times New Roman"/>
          <w:sz w:val="24"/>
          <w:szCs w:val="24"/>
        </w:rPr>
        <w:t xml:space="preserve"> and </w:t>
      </w:r>
      <w:r w:rsidR="00325412">
        <w:rPr>
          <w:rFonts w:ascii="Times New Roman" w:hAnsi="Times New Roman" w:cs="Times New Roman"/>
          <w:sz w:val="24"/>
          <w:szCs w:val="24"/>
        </w:rPr>
        <w:t>g</w:t>
      </w:r>
      <w:r w:rsidR="000A1F15">
        <w:rPr>
          <w:rFonts w:ascii="Times New Roman" w:hAnsi="Times New Roman" w:cs="Times New Roman"/>
          <w:sz w:val="24"/>
          <w:szCs w:val="24"/>
        </w:rPr>
        <w:t xml:space="preserve">ross </w:t>
      </w:r>
      <w:r w:rsidR="00325412">
        <w:rPr>
          <w:rFonts w:ascii="Times New Roman" w:hAnsi="Times New Roman" w:cs="Times New Roman"/>
          <w:sz w:val="24"/>
          <w:szCs w:val="24"/>
        </w:rPr>
        <w:t>d</w:t>
      </w:r>
      <w:r w:rsidR="000A1F15">
        <w:rPr>
          <w:rFonts w:ascii="Times New Roman" w:hAnsi="Times New Roman" w:cs="Times New Roman"/>
          <w:sz w:val="24"/>
          <w:szCs w:val="24"/>
        </w:rPr>
        <w:t xml:space="preserve">omestic </w:t>
      </w:r>
      <w:r w:rsidR="00325412">
        <w:rPr>
          <w:rFonts w:ascii="Times New Roman" w:hAnsi="Times New Roman" w:cs="Times New Roman"/>
          <w:sz w:val="24"/>
          <w:szCs w:val="24"/>
        </w:rPr>
        <w:t>p</w:t>
      </w:r>
      <w:r w:rsidR="000A1F15">
        <w:rPr>
          <w:rFonts w:ascii="Times New Roman" w:hAnsi="Times New Roman" w:cs="Times New Roman"/>
          <w:sz w:val="24"/>
          <w:szCs w:val="24"/>
        </w:rPr>
        <w:t>roduct (GDP)</w:t>
      </w:r>
      <w:r w:rsidR="00FC267E">
        <w:rPr>
          <w:rFonts w:ascii="Times New Roman" w:hAnsi="Times New Roman" w:cs="Times New Roman"/>
          <w:sz w:val="24"/>
          <w:szCs w:val="24"/>
        </w:rPr>
        <w:t xml:space="preserve">, the low </w:t>
      </w:r>
      <w:r w:rsidR="00602693">
        <w:rPr>
          <w:rFonts w:ascii="Times New Roman" w:hAnsi="Times New Roman" w:cs="Times New Roman"/>
          <w:sz w:val="24"/>
          <w:szCs w:val="24"/>
        </w:rPr>
        <w:t>consumption per</w:t>
      </w:r>
      <w:r w:rsidR="00057B0E">
        <w:rPr>
          <w:rFonts w:ascii="Times New Roman" w:hAnsi="Times New Roman" w:cs="Times New Roman"/>
          <w:sz w:val="24"/>
          <w:szCs w:val="24"/>
        </w:rPr>
        <w:t xml:space="preserve"> capita was </w:t>
      </w:r>
      <w:r w:rsidR="006D4C89">
        <w:rPr>
          <w:rFonts w:ascii="Times New Roman" w:hAnsi="Times New Roman" w:cs="Times New Roman"/>
          <w:sz w:val="24"/>
          <w:szCs w:val="24"/>
        </w:rPr>
        <w:t xml:space="preserve">perhaps a reflection </w:t>
      </w:r>
      <w:r w:rsidR="007C17A9">
        <w:rPr>
          <w:rFonts w:ascii="Times New Roman" w:hAnsi="Times New Roman" w:cs="Times New Roman"/>
          <w:sz w:val="24"/>
          <w:szCs w:val="24"/>
        </w:rPr>
        <w:t>of the</w:t>
      </w:r>
      <w:r w:rsidR="006D4C89">
        <w:rPr>
          <w:rFonts w:ascii="Times New Roman" w:hAnsi="Times New Roman" w:cs="Times New Roman"/>
          <w:sz w:val="24"/>
          <w:szCs w:val="24"/>
        </w:rPr>
        <w:t xml:space="preserve"> low </w:t>
      </w:r>
      <w:r w:rsidR="00F8110E">
        <w:rPr>
          <w:rFonts w:ascii="Times New Roman" w:hAnsi="Times New Roman" w:cs="Times New Roman"/>
          <w:sz w:val="24"/>
          <w:szCs w:val="24"/>
        </w:rPr>
        <w:t>tourism and</w:t>
      </w:r>
      <w:r w:rsidR="006D4C89">
        <w:rPr>
          <w:rFonts w:ascii="Times New Roman" w:hAnsi="Times New Roman" w:cs="Times New Roman"/>
          <w:sz w:val="24"/>
          <w:szCs w:val="24"/>
        </w:rPr>
        <w:t xml:space="preserve"> </w:t>
      </w:r>
      <w:r w:rsidR="007C17A9">
        <w:rPr>
          <w:rFonts w:ascii="Times New Roman" w:hAnsi="Times New Roman" w:cs="Times New Roman"/>
          <w:sz w:val="24"/>
          <w:szCs w:val="24"/>
        </w:rPr>
        <w:t>manufacturing sectors</w:t>
      </w:r>
      <w:r w:rsidR="00EE4935">
        <w:rPr>
          <w:rFonts w:ascii="Times New Roman" w:hAnsi="Times New Roman" w:cs="Times New Roman"/>
          <w:sz w:val="24"/>
          <w:szCs w:val="24"/>
        </w:rPr>
        <w:t xml:space="preserve"> in Dominica</w:t>
      </w:r>
      <w:r w:rsidR="00FE48E6">
        <w:rPr>
          <w:rFonts w:ascii="Times New Roman" w:hAnsi="Times New Roman" w:cs="Times New Roman"/>
          <w:sz w:val="24"/>
          <w:szCs w:val="24"/>
        </w:rPr>
        <w:t xml:space="preserve">. </w:t>
      </w:r>
    </w:p>
    <w:p w:rsidR="00AB5FB8" w:rsidRDefault="00AB5FB8" w:rsidP="004138AE">
      <w:pPr>
        <w:pStyle w:val="NoSpacing"/>
        <w:jc w:val="both"/>
        <w:rPr>
          <w:rFonts w:ascii="Times New Roman" w:hAnsi="Times New Roman" w:cs="Times New Roman"/>
          <w:sz w:val="24"/>
          <w:szCs w:val="24"/>
        </w:rPr>
      </w:pPr>
    </w:p>
    <w:p w:rsidR="00F8110E" w:rsidRDefault="00FE48E6" w:rsidP="004138AE">
      <w:pPr>
        <w:pStyle w:val="NoSpacing"/>
        <w:jc w:val="both"/>
        <w:rPr>
          <w:rFonts w:ascii="Times New Roman" w:hAnsi="Times New Roman" w:cs="Times New Roman"/>
          <w:sz w:val="24"/>
          <w:szCs w:val="24"/>
        </w:rPr>
      </w:pPr>
      <w:r>
        <w:rPr>
          <w:rFonts w:ascii="Times New Roman" w:hAnsi="Times New Roman" w:cs="Times New Roman"/>
          <w:sz w:val="24"/>
          <w:szCs w:val="24"/>
        </w:rPr>
        <w:t>Additional data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7C17A9">
        <w:rPr>
          <w:rFonts w:ascii="Times New Roman" w:hAnsi="Times New Roman" w:cs="Times New Roman"/>
          <w:sz w:val="24"/>
          <w:szCs w:val="24"/>
        </w:rPr>
        <w:t>shows Dominica GDP per capita as</w:t>
      </w:r>
      <w:r w:rsidR="001772B1">
        <w:rPr>
          <w:rFonts w:ascii="Times New Roman" w:hAnsi="Times New Roman" w:cs="Times New Roman"/>
          <w:sz w:val="24"/>
          <w:szCs w:val="24"/>
        </w:rPr>
        <w:t xml:space="preserve"> (7,539</w:t>
      </w:r>
      <w:r w:rsidR="00BE0B6F">
        <w:rPr>
          <w:rFonts w:ascii="Times New Roman" w:hAnsi="Times New Roman" w:cs="Times New Roman"/>
          <w:sz w:val="24"/>
          <w:szCs w:val="24"/>
        </w:rPr>
        <w:t>)</w:t>
      </w:r>
      <w:r w:rsidR="001772B1">
        <w:rPr>
          <w:rFonts w:ascii="Times New Roman" w:hAnsi="Times New Roman" w:cs="Times New Roman"/>
          <w:sz w:val="24"/>
          <w:szCs w:val="24"/>
        </w:rPr>
        <w:t xml:space="preserve"> in 2014</w:t>
      </w:r>
      <w:r w:rsidR="00EE4935">
        <w:rPr>
          <w:rFonts w:ascii="Times New Roman" w:hAnsi="Times New Roman" w:cs="Times New Roman"/>
          <w:sz w:val="24"/>
          <w:szCs w:val="24"/>
        </w:rPr>
        <w:t xml:space="preserve">.  </w:t>
      </w:r>
      <w:r w:rsidR="001772B1">
        <w:rPr>
          <w:rFonts w:ascii="Times New Roman" w:hAnsi="Times New Roman" w:cs="Times New Roman"/>
          <w:sz w:val="24"/>
          <w:szCs w:val="24"/>
        </w:rPr>
        <w:t>Moreover</w:t>
      </w:r>
      <w:r w:rsidR="00EE4935">
        <w:rPr>
          <w:rFonts w:ascii="Times New Roman" w:hAnsi="Times New Roman" w:cs="Times New Roman"/>
          <w:sz w:val="24"/>
          <w:szCs w:val="24"/>
        </w:rPr>
        <w:t>,</w:t>
      </w:r>
      <w:r w:rsidR="00F8110E">
        <w:rPr>
          <w:rFonts w:ascii="Times New Roman" w:hAnsi="Times New Roman" w:cs="Times New Roman"/>
          <w:sz w:val="24"/>
          <w:szCs w:val="24"/>
        </w:rPr>
        <w:t xml:space="preserve"> St. </w:t>
      </w:r>
      <w:r w:rsidR="00C52C62">
        <w:rPr>
          <w:rFonts w:ascii="Times New Roman" w:hAnsi="Times New Roman" w:cs="Times New Roman"/>
          <w:sz w:val="24"/>
          <w:szCs w:val="24"/>
        </w:rPr>
        <w:t>Kitts</w:t>
      </w:r>
      <w:r w:rsidR="00EE4935">
        <w:rPr>
          <w:rFonts w:ascii="Times New Roman" w:hAnsi="Times New Roman" w:cs="Times New Roman"/>
          <w:sz w:val="24"/>
          <w:szCs w:val="24"/>
        </w:rPr>
        <w:t>/Nevis</w:t>
      </w:r>
      <w:r w:rsidR="00C52C62">
        <w:rPr>
          <w:rFonts w:ascii="Times New Roman" w:hAnsi="Times New Roman" w:cs="Times New Roman"/>
          <w:sz w:val="24"/>
          <w:szCs w:val="24"/>
        </w:rPr>
        <w:t xml:space="preserve"> and</w:t>
      </w:r>
      <w:r w:rsidR="00F8110E">
        <w:rPr>
          <w:rFonts w:ascii="Times New Roman" w:hAnsi="Times New Roman" w:cs="Times New Roman"/>
          <w:sz w:val="24"/>
          <w:szCs w:val="24"/>
        </w:rPr>
        <w:t xml:space="preserve"> Antigua </w:t>
      </w:r>
      <w:r w:rsidR="009F7404">
        <w:rPr>
          <w:rFonts w:ascii="Times New Roman" w:hAnsi="Times New Roman" w:cs="Times New Roman"/>
          <w:sz w:val="24"/>
          <w:szCs w:val="24"/>
        </w:rPr>
        <w:t>experienced the highest (GDP)</w:t>
      </w:r>
      <w:r w:rsidR="00EE4935">
        <w:rPr>
          <w:rFonts w:ascii="Times New Roman" w:hAnsi="Times New Roman" w:cs="Times New Roman"/>
          <w:sz w:val="24"/>
          <w:szCs w:val="24"/>
        </w:rPr>
        <w:t xml:space="preserve"> per capita </w:t>
      </w:r>
      <w:r w:rsidR="00316D0E">
        <w:rPr>
          <w:rFonts w:ascii="Times New Roman" w:hAnsi="Times New Roman" w:cs="Times New Roman"/>
          <w:sz w:val="24"/>
          <w:szCs w:val="24"/>
        </w:rPr>
        <w:t>of 15,029</w:t>
      </w:r>
      <w:r w:rsidR="00EE4935">
        <w:rPr>
          <w:rFonts w:ascii="Times New Roman" w:hAnsi="Times New Roman" w:cs="Times New Roman"/>
          <w:sz w:val="24"/>
          <w:szCs w:val="24"/>
        </w:rPr>
        <w:t xml:space="preserve"> and 12,363 respective</w:t>
      </w:r>
      <w:r w:rsidR="00126DFC">
        <w:rPr>
          <w:rFonts w:ascii="Times New Roman" w:hAnsi="Times New Roman" w:cs="Times New Roman"/>
          <w:sz w:val="24"/>
          <w:szCs w:val="24"/>
        </w:rPr>
        <w:t>ly</w:t>
      </w:r>
      <w:r w:rsidR="00BE0B6F">
        <w:rPr>
          <w:rFonts w:ascii="Times New Roman" w:hAnsi="Times New Roman" w:cs="Times New Roman"/>
          <w:sz w:val="24"/>
          <w:szCs w:val="24"/>
        </w:rPr>
        <w:t xml:space="preserve"> in 2014</w:t>
      </w:r>
      <w:r w:rsidR="00126DFC">
        <w:rPr>
          <w:rFonts w:ascii="Times New Roman" w:hAnsi="Times New Roman" w:cs="Times New Roman"/>
          <w:sz w:val="24"/>
          <w:szCs w:val="24"/>
        </w:rPr>
        <w:t xml:space="preserve">. </w:t>
      </w:r>
      <w:r w:rsidR="007C17A9">
        <w:rPr>
          <w:rFonts w:ascii="Times New Roman" w:hAnsi="Times New Roman" w:cs="Times New Roman"/>
          <w:sz w:val="24"/>
          <w:szCs w:val="24"/>
        </w:rPr>
        <w:t>Also in 2014,</w:t>
      </w:r>
      <w:r w:rsidR="00126DFC">
        <w:rPr>
          <w:rFonts w:ascii="Times New Roman" w:hAnsi="Times New Roman" w:cs="Times New Roman"/>
          <w:sz w:val="24"/>
          <w:szCs w:val="24"/>
        </w:rPr>
        <w:t xml:space="preserve"> </w:t>
      </w:r>
      <w:r w:rsidR="007C17A9">
        <w:rPr>
          <w:rFonts w:ascii="Times New Roman" w:hAnsi="Times New Roman" w:cs="Times New Roman"/>
          <w:sz w:val="24"/>
          <w:szCs w:val="24"/>
        </w:rPr>
        <w:t>t</w:t>
      </w:r>
      <w:r w:rsidR="00EE4935">
        <w:rPr>
          <w:rFonts w:ascii="Times New Roman" w:hAnsi="Times New Roman" w:cs="Times New Roman"/>
          <w:sz w:val="24"/>
          <w:szCs w:val="24"/>
        </w:rPr>
        <w:t xml:space="preserve">he two </w:t>
      </w:r>
      <w:r w:rsidR="007C17A9">
        <w:rPr>
          <w:rFonts w:ascii="Times New Roman" w:hAnsi="Times New Roman" w:cs="Times New Roman"/>
          <w:sz w:val="24"/>
          <w:szCs w:val="24"/>
        </w:rPr>
        <w:t>countries</w:t>
      </w:r>
      <w:r w:rsidR="00BE0B6F">
        <w:rPr>
          <w:rFonts w:ascii="Times New Roman" w:hAnsi="Times New Roman" w:cs="Times New Roman"/>
          <w:sz w:val="24"/>
          <w:szCs w:val="24"/>
        </w:rPr>
        <w:t xml:space="preserve"> attained</w:t>
      </w:r>
      <w:r w:rsidR="00EE4935">
        <w:rPr>
          <w:rFonts w:ascii="Times New Roman" w:hAnsi="Times New Roman" w:cs="Times New Roman"/>
          <w:sz w:val="24"/>
          <w:szCs w:val="24"/>
        </w:rPr>
        <w:t xml:space="preserve"> the highest</w:t>
      </w:r>
      <w:r w:rsidR="009F7404">
        <w:rPr>
          <w:rFonts w:ascii="Times New Roman" w:hAnsi="Times New Roman" w:cs="Times New Roman"/>
          <w:sz w:val="24"/>
          <w:szCs w:val="24"/>
        </w:rPr>
        <w:t xml:space="preserve"> electricity consumption per </w:t>
      </w:r>
      <w:r w:rsidR="007C17A9">
        <w:rPr>
          <w:rFonts w:ascii="Times New Roman" w:hAnsi="Times New Roman" w:cs="Times New Roman"/>
          <w:sz w:val="24"/>
          <w:szCs w:val="24"/>
        </w:rPr>
        <w:t>ca</w:t>
      </w:r>
      <w:r w:rsidR="002050DD">
        <w:rPr>
          <w:rFonts w:ascii="Times New Roman" w:hAnsi="Times New Roman" w:cs="Times New Roman"/>
          <w:sz w:val="24"/>
          <w:szCs w:val="24"/>
        </w:rPr>
        <w:t xml:space="preserve">pita </w:t>
      </w:r>
      <w:r w:rsidR="007C17A9">
        <w:rPr>
          <w:rFonts w:ascii="Times New Roman" w:hAnsi="Times New Roman" w:cs="Times New Roman"/>
          <w:sz w:val="24"/>
          <w:szCs w:val="24"/>
        </w:rPr>
        <w:t xml:space="preserve">among the </w:t>
      </w:r>
      <w:r w:rsidR="00D8733B">
        <w:rPr>
          <w:rFonts w:ascii="Times New Roman" w:hAnsi="Times New Roman" w:cs="Times New Roman"/>
          <w:sz w:val="24"/>
          <w:szCs w:val="24"/>
        </w:rPr>
        <w:t>OECS</w:t>
      </w:r>
      <w:r w:rsidR="00126DFC">
        <w:rPr>
          <w:rFonts w:ascii="Times New Roman" w:hAnsi="Times New Roman" w:cs="Times New Roman"/>
          <w:sz w:val="24"/>
          <w:szCs w:val="24"/>
        </w:rPr>
        <w:t xml:space="preserve"> </w:t>
      </w:r>
      <w:r w:rsidR="00AB5FB8">
        <w:rPr>
          <w:rFonts w:ascii="Times New Roman" w:hAnsi="Times New Roman" w:cs="Times New Roman"/>
          <w:sz w:val="24"/>
          <w:szCs w:val="24"/>
        </w:rPr>
        <w:t>countries</w:t>
      </w:r>
      <w:r w:rsidR="00D8733B">
        <w:rPr>
          <w:rFonts w:ascii="Times New Roman" w:hAnsi="Times New Roman" w:cs="Times New Roman"/>
          <w:sz w:val="24"/>
          <w:szCs w:val="24"/>
        </w:rPr>
        <w:t>.</w:t>
      </w:r>
      <w:r w:rsidR="00F8110E">
        <w:rPr>
          <w:rFonts w:ascii="Times New Roman" w:hAnsi="Times New Roman" w:cs="Times New Roman"/>
          <w:sz w:val="24"/>
          <w:szCs w:val="24"/>
        </w:rPr>
        <w:t xml:space="preserve"> </w:t>
      </w:r>
      <w:r w:rsidR="00126DFC">
        <w:rPr>
          <w:rFonts w:ascii="Times New Roman" w:hAnsi="Times New Roman" w:cs="Times New Roman"/>
          <w:sz w:val="24"/>
          <w:szCs w:val="24"/>
        </w:rPr>
        <w:t>The</w:t>
      </w:r>
      <w:r w:rsidR="007C17A9">
        <w:rPr>
          <w:rFonts w:ascii="Times New Roman" w:hAnsi="Times New Roman" w:cs="Times New Roman"/>
          <w:sz w:val="24"/>
          <w:szCs w:val="24"/>
        </w:rPr>
        <w:t>se</w:t>
      </w:r>
      <w:r w:rsidR="00B60632">
        <w:rPr>
          <w:rFonts w:ascii="Times New Roman" w:hAnsi="Times New Roman" w:cs="Times New Roman"/>
          <w:sz w:val="24"/>
          <w:szCs w:val="24"/>
        </w:rPr>
        <w:t xml:space="preserve"> </w:t>
      </w:r>
      <w:r w:rsidR="009F7404">
        <w:rPr>
          <w:rFonts w:ascii="Times New Roman" w:hAnsi="Times New Roman" w:cs="Times New Roman"/>
          <w:sz w:val="24"/>
          <w:szCs w:val="24"/>
        </w:rPr>
        <w:t>indicators</w:t>
      </w:r>
      <w:r w:rsidR="00B60632">
        <w:rPr>
          <w:rFonts w:ascii="Times New Roman" w:hAnsi="Times New Roman" w:cs="Times New Roman"/>
          <w:sz w:val="24"/>
          <w:szCs w:val="24"/>
        </w:rPr>
        <w:t xml:space="preserve"> were</w:t>
      </w:r>
      <w:r w:rsidR="009F7404">
        <w:rPr>
          <w:rFonts w:ascii="Times New Roman" w:hAnsi="Times New Roman" w:cs="Times New Roman"/>
          <w:sz w:val="24"/>
          <w:szCs w:val="24"/>
        </w:rPr>
        <w:t xml:space="preserve"> most</w:t>
      </w:r>
      <w:r w:rsidR="00C52C62">
        <w:rPr>
          <w:rFonts w:ascii="Times New Roman" w:hAnsi="Times New Roman" w:cs="Times New Roman"/>
          <w:sz w:val="24"/>
          <w:szCs w:val="24"/>
        </w:rPr>
        <w:t xml:space="preserve"> likely influenced</w:t>
      </w:r>
      <w:r w:rsidR="00EE4935">
        <w:rPr>
          <w:rFonts w:ascii="Times New Roman" w:hAnsi="Times New Roman" w:cs="Times New Roman"/>
          <w:sz w:val="24"/>
          <w:szCs w:val="24"/>
        </w:rPr>
        <w:t xml:space="preserve"> b</w:t>
      </w:r>
      <w:r w:rsidR="00126DFC">
        <w:rPr>
          <w:rFonts w:ascii="Times New Roman" w:hAnsi="Times New Roman" w:cs="Times New Roman"/>
          <w:sz w:val="24"/>
          <w:szCs w:val="24"/>
        </w:rPr>
        <w:t>y the high</w:t>
      </w:r>
      <w:r w:rsidR="00C52C62">
        <w:rPr>
          <w:rFonts w:ascii="Times New Roman" w:hAnsi="Times New Roman" w:cs="Times New Roman"/>
          <w:sz w:val="24"/>
          <w:szCs w:val="24"/>
        </w:rPr>
        <w:t xml:space="preserve"> tourist</w:t>
      </w:r>
      <w:r w:rsidR="009F7404">
        <w:rPr>
          <w:rFonts w:ascii="Times New Roman" w:hAnsi="Times New Roman" w:cs="Times New Roman"/>
          <w:sz w:val="24"/>
          <w:szCs w:val="24"/>
        </w:rPr>
        <w:t xml:space="preserve"> arrival</w:t>
      </w:r>
      <w:r w:rsidR="00EE4935">
        <w:rPr>
          <w:rFonts w:ascii="Times New Roman" w:hAnsi="Times New Roman" w:cs="Times New Roman"/>
          <w:sz w:val="24"/>
          <w:szCs w:val="24"/>
        </w:rPr>
        <w:t xml:space="preserve">s </w:t>
      </w:r>
      <w:r w:rsidR="00126DFC">
        <w:rPr>
          <w:rFonts w:ascii="Times New Roman" w:hAnsi="Times New Roman" w:cs="Times New Roman"/>
          <w:sz w:val="24"/>
          <w:szCs w:val="24"/>
        </w:rPr>
        <w:t xml:space="preserve">to </w:t>
      </w:r>
      <w:r w:rsidR="00316D0E">
        <w:rPr>
          <w:rFonts w:ascii="Times New Roman" w:hAnsi="Times New Roman" w:cs="Times New Roman"/>
          <w:sz w:val="24"/>
          <w:szCs w:val="24"/>
        </w:rPr>
        <w:t>these islands</w:t>
      </w:r>
      <w:r w:rsidR="00BE0B6F">
        <w:rPr>
          <w:rFonts w:ascii="Times New Roman" w:hAnsi="Times New Roman" w:cs="Times New Roman"/>
          <w:sz w:val="24"/>
          <w:szCs w:val="24"/>
        </w:rPr>
        <w:t>,</w:t>
      </w:r>
      <w:r w:rsidR="007C17A9">
        <w:rPr>
          <w:rFonts w:ascii="Times New Roman" w:hAnsi="Times New Roman" w:cs="Times New Roman"/>
          <w:sz w:val="24"/>
          <w:szCs w:val="24"/>
        </w:rPr>
        <w:t xml:space="preserve"> resulting in high occupancy and increased</w:t>
      </w:r>
      <w:r w:rsidR="00126DFC">
        <w:rPr>
          <w:rFonts w:ascii="Times New Roman" w:hAnsi="Times New Roman" w:cs="Times New Roman"/>
          <w:sz w:val="24"/>
          <w:szCs w:val="24"/>
        </w:rPr>
        <w:t xml:space="preserve"> economic activities.</w:t>
      </w:r>
      <w:r w:rsidR="006154FE">
        <w:rPr>
          <w:rFonts w:ascii="Times New Roman" w:hAnsi="Times New Roman" w:cs="Times New Roman"/>
          <w:sz w:val="24"/>
          <w:szCs w:val="24"/>
        </w:rPr>
        <w:t xml:space="preserve">  </w:t>
      </w:r>
    </w:p>
    <w:p w:rsidR="008B7B3E" w:rsidRDefault="008B7B3E" w:rsidP="004138AE">
      <w:pPr>
        <w:pStyle w:val="NoSpacing"/>
        <w:jc w:val="both"/>
        <w:rPr>
          <w:rFonts w:ascii="Times New Roman" w:hAnsi="Times New Roman" w:cs="Times New Roman"/>
          <w:sz w:val="24"/>
          <w:szCs w:val="24"/>
        </w:rPr>
      </w:pPr>
    </w:p>
    <w:p w:rsidR="007C17A9" w:rsidRDefault="006154FE" w:rsidP="00126DFC">
      <w:pPr>
        <w:pStyle w:val="NoSpacing"/>
        <w:jc w:val="both"/>
        <w:rPr>
          <w:rFonts w:ascii="Times New Roman" w:hAnsi="Times New Roman" w:cs="Times New Roman"/>
          <w:sz w:val="24"/>
          <w:szCs w:val="24"/>
        </w:rPr>
      </w:pPr>
      <w:r>
        <w:rPr>
          <w:rFonts w:ascii="Times New Roman" w:hAnsi="Times New Roman" w:cs="Times New Roman"/>
          <w:sz w:val="24"/>
          <w:szCs w:val="24"/>
        </w:rPr>
        <w:t>As can be seen</w:t>
      </w:r>
      <w:r w:rsidR="00C52C62">
        <w:rPr>
          <w:rFonts w:ascii="Times New Roman" w:hAnsi="Times New Roman" w:cs="Times New Roman"/>
          <w:sz w:val="24"/>
          <w:szCs w:val="24"/>
        </w:rPr>
        <w:t xml:space="preserve"> outside</w:t>
      </w:r>
      <w:r w:rsidR="00F8110E">
        <w:rPr>
          <w:rFonts w:ascii="Times New Roman" w:hAnsi="Times New Roman" w:cs="Times New Roman"/>
          <w:sz w:val="24"/>
          <w:szCs w:val="24"/>
        </w:rPr>
        <w:t xml:space="preserve"> of the OECS</w:t>
      </w:r>
      <w:r>
        <w:rPr>
          <w:rFonts w:ascii="Times New Roman" w:hAnsi="Times New Roman" w:cs="Times New Roman"/>
          <w:sz w:val="24"/>
          <w:szCs w:val="24"/>
        </w:rPr>
        <w:t xml:space="preserve"> jurisdiction</w:t>
      </w:r>
      <w:r w:rsidR="00316D0E">
        <w:rPr>
          <w:rFonts w:ascii="Times New Roman" w:hAnsi="Times New Roman" w:cs="Times New Roman"/>
          <w:sz w:val="24"/>
          <w:szCs w:val="24"/>
        </w:rPr>
        <w:t xml:space="preserve">, Trinidad and Tobago </w:t>
      </w:r>
      <w:r w:rsidR="00316D0E" w:rsidRPr="006D4C89">
        <w:rPr>
          <w:rFonts w:ascii="Times New Roman" w:hAnsi="Times New Roman" w:cs="Times New Roman"/>
          <w:sz w:val="24"/>
          <w:szCs w:val="24"/>
        </w:rPr>
        <w:t>consumption</w:t>
      </w:r>
      <w:r w:rsidR="00057B0E" w:rsidRPr="006D4C89">
        <w:rPr>
          <w:rFonts w:ascii="Times New Roman" w:hAnsi="Times New Roman" w:cs="Times New Roman"/>
          <w:sz w:val="24"/>
          <w:szCs w:val="24"/>
        </w:rPr>
        <w:t xml:space="preserve"> per </w:t>
      </w:r>
      <w:r w:rsidR="007C17A9" w:rsidRPr="006D4C89">
        <w:rPr>
          <w:rFonts w:ascii="Times New Roman" w:hAnsi="Times New Roman" w:cs="Times New Roman"/>
          <w:sz w:val="24"/>
          <w:szCs w:val="24"/>
        </w:rPr>
        <w:t>capita</w:t>
      </w:r>
      <w:r w:rsidR="007C17A9">
        <w:rPr>
          <w:rFonts w:ascii="Times New Roman" w:hAnsi="Times New Roman" w:cs="Times New Roman"/>
          <w:sz w:val="24"/>
          <w:szCs w:val="24"/>
        </w:rPr>
        <w:t xml:space="preserve"> (</w:t>
      </w:r>
      <w:r w:rsidR="00316D0E">
        <w:rPr>
          <w:rFonts w:ascii="Times New Roman" w:hAnsi="Times New Roman" w:cs="Times New Roman"/>
          <w:sz w:val="24"/>
          <w:szCs w:val="24"/>
        </w:rPr>
        <w:t>7,456 kWh</w:t>
      </w:r>
      <w:r w:rsidR="007C17A9">
        <w:rPr>
          <w:rFonts w:ascii="Times New Roman" w:hAnsi="Times New Roman" w:cs="Times New Roman"/>
          <w:sz w:val="24"/>
          <w:szCs w:val="24"/>
        </w:rPr>
        <w:t>) in</w:t>
      </w:r>
      <w:r w:rsidR="00316D0E">
        <w:rPr>
          <w:rFonts w:ascii="Times New Roman" w:hAnsi="Times New Roman" w:cs="Times New Roman"/>
          <w:sz w:val="24"/>
          <w:szCs w:val="24"/>
        </w:rPr>
        <w:t xml:space="preserve"> 2014 was considerably higher </w:t>
      </w:r>
      <w:r w:rsidR="00F4012A">
        <w:rPr>
          <w:rFonts w:ascii="Times New Roman" w:hAnsi="Times New Roman" w:cs="Times New Roman"/>
          <w:sz w:val="24"/>
          <w:szCs w:val="24"/>
        </w:rPr>
        <w:t>than that</w:t>
      </w:r>
      <w:r w:rsidR="00FB6A88">
        <w:rPr>
          <w:rFonts w:ascii="Times New Roman" w:hAnsi="Times New Roman" w:cs="Times New Roman"/>
          <w:sz w:val="24"/>
          <w:szCs w:val="24"/>
        </w:rPr>
        <w:t xml:space="preserve"> of </w:t>
      </w:r>
      <w:r w:rsidR="00316D0E">
        <w:rPr>
          <w:rFonts w:ascii="Times New Roman" w:hAnsi="Times New Roman" w:cs="Times New Roman"/>
          <w:sz w:val="24"/>
          <w:szCs w:val="24"/>
        </w:rPr>
        <w:t xml:space="preserve">the </w:t>
      </w:r>
      <w:r w:rsidR="00F4012A">
        <w:rPr>
          <w:rFonts w:ascii="Times New Roman" w:hAnsi="Times New Roman" w:cs="Times New Roman"/>
          <w:sz w:val="24"/>
          <w:szCs w:val="24"/>
        </w:rPr>
        <w:t>OECS islands</w:t>
      </w:r>
      <w:r w:rsidR="00316D0E">
        <w:rPr>
          <w:rFonts w:ascii="Times New Roman" w:hAnsi="Times New Roman" w:cs="Times New Roman"/>
          <w:sz w:val="24"/>
          <w:szCs w:val="24"/>
        </w:rPr>
        <w:t xml:space="preserve">.  </w:t>
      </w:r>
      <w:r>
        <w:rPr>
          <w:rFonts w:ascii="Times New Roman" w:hAnsi="Times New Roman" w:cs="Times New Roman"/>
          <w:sz w:val="24"/>
          <w:szCs w:val="24"/>
        </w:rPr>
        <w:t>Trinidad and T</w:t>
      </w:r>
      <w:r w:rsidR="00262BBA">
        <w:rPr>
          <w:rFonts w:ascii="Times New Roman" w:hAnsi="Times New Roman" w:cs="Times New Roman"/>
          <w:sz w:val="24"/>
          <w:szCs w:val="24"/>
        </w:rPr>
        <w:t>o</w:t>
      </w:r>
      <w:r>
        <w:rPr>
          <w:rFonts w:ascii="Times New Roman" w:hAnsi="Times New Roman" w:cs="Times New Roman"/>
          <w:sz w:val="24"/>
          <w:szCs w:val="24"/>
        </w:rPr>
        <w:t>bago consumptio</w:t>
      </w:r>
      <w:r w:rsidR="00316D0E">
        <w:rPr>
          <w:rFonts w:ascii="Times New Roman" w:hAnsi="Times New Roman" w:cs="Times New Roman"/>
          <w:sz w:val="24"/>
          <w:szCs w:val="24"/>
        </w:rPr>
        <w:t xml:space="preserve">n per capita </w:t>
      </w:r>
      <w:r w:rsidR="007C17A9">
        <w:rPr>
          <w:rFonts w:ascii="Times New Roman" w:hAnsi="Times New Roman" w:cs="Times New Roman"/>
          <w:sz w:val="24"/>
          <w:szCs w:val="24"/>
        </w:rPr>
        <w:t>grew by</w:t>
      </w:r>
      <w:r>
        <w:rPr>
          <w:rFonts w:ascii="Times New Roman" w:hAnsi="Times New Roman" w:cs="Times New Roman"/>
          <w:sz w:val="24"/>
          <w:szCs w:val="24"/>
        </w:rPr>
        <w:t xml:space="preserve"> 12.48% from 2012 to 2014.</w:t>
      </w:r>
      <w:r w:rsidR="00A47FEE">
        <w:rPr>
          <w:rFonts w:ascii="Times New Roman" w:hAnsi="Times New Roman" w:cs="Times New Roman"/>
          <w:sz w:val="24"/>
          <w:szCs w:val="24"/>
        </w:rPr>
        <w:t xml:space="preserve">  </w:t>
      </w:r>
      <w:r w:rsidR="00316D0E">
        <w:rPr>
          <w:rFonts w:ascii="Times New Roman" w:hAnsi="Times New Roman" w:cs="Times New Roman"/>
          <w:sz w:val="24"/>
          <w:szCs w:val="24"/>
        </w:rPr>
        <w:t>Conversely, the OECS countries</w:t>
      </w:r>
      <w:r w:rsidR="00D8733B">
        <w:rPr>
          <w:rFonts w:ascii="Times New Roman" w:hAnsi="Times New Roman" w:cs="Times New Roman"/>
          <w:sz w:val="24"/>
          <w:szCs w:val="24"/>
        </w:rPr>
        <w:t xml:space="preserve">’ </w:t>
      </w:r>
      <w:r w:rsidR="005A5E50">
        <w:rPr>
          <w:rFonts w:ascii="Times New Roman" w:hAnsi="Times New Roman" w:cs="Times New Roman"/>
          <w:sz w:val="24"/>
          <w:szCs w:val="24"/>
        </w:rPr>
        <w:t>en</w:t>
      </w:r>
      <w:r>
        <w:rPr>
          <w:rFonts w:ascii="Times New Roman" w:hAnsi="Times New Roman" w:cs="Times New Roman"/>
          <w:sz w:val="24"/>
          <w:szCs w:val="24"/>
        </w:rPr>
        <w:t xml:space="preserve">ergy </w:t>
      </w:r>
      <w:r w:rsidR="00316D0E">
        <w:rPr>
          <w:rFonts w:ascii="Times New Roman" w:hAnsi="Times New Roman" w:cs="Times New Roman"/>
          <w:sz w:val="24"/>
          <w:szCs w:val="24"/>
        </w:rPr>
        <w:t>consumption per</w:t>
      </w:r>
      <w:r>
        <w:rPr>
          <w:rFonts w:ascii="Times New Roman" w:hAnsi="Times New Roman" w:cs="Times New Roman"/>
          <w:sz w:val="24"/>
          <w:szCs w:val="24"/>
        </w:rPr>
        <w:t xml:space="preserve"> capita </w:t>
      </w:r>
      <w:r w:rsidR="00316D0E">
        <w:rPr>
          <w:rFonts w:ascii="Times New Roman" w:hAnsi="Times New Roman" w:cs="Times New Roman"/>
          <w:sz w:val="24"/>
          <w:szCs w:val="24"/>
        </w:rPr>
        <w:t>was</w:t>
      </w:r>
      <w:r w:rsidR="005A5E50">
        <w:rPr>
          <w:rFonts w:ascii="Times New Roman" w:hAnsi="Times New Roman" w:cs="Times New Roman"/>
          <w:sz w:val="24"/>
          <w:szCs w:val="24"/>
        </w:rPr>
        <w:t xml:space="preserve"> much </w:t>
      </w:r>
      <w:r w:rsidR="00316D0E">
        <w:rPr>
          <w:rFonts w:ascii="Times New Roman" w:hAnsi="Times New Roman" w:cs="Times New Roman"/>
          <w:sz w:val="24"/>
          <w:szCs w:val="24"/>
        </w:rPr>
        <w:t>higher than</w:t>
      </w:r>
      <w:r w:rsidR="00D8733B">
        <w:rPr>
          <w:rFonts w:ascii="Times New Roman" w:hAnsi="Times New Roman" w:cs="Times New Roman"/>
          <w:sz w:val="24"/>
          <w:szCs w:val="24"/>
        </w:rPr>
        <w:t xml:space="preserve"> that of Jamaica</w:t>
      </w:r>
      <w:r w:rsidR="00316D0E">
        <w:rPr>
          <w:rFonts w:ascii="Times New Roman" w:hAnsi="Times New Roman" w:cs="Times New Roman"/>
          <w:sz w:val="24"/>
          <w:szCs w:val="24"/>
        </w:rPr>
        <w:t xml:space="preserve"> </w:t>
      </w:r>
      <w:r w:rsidR="00D8733B">
        <w:rPr>
          <w:rFonts w:ascii="Times New Roman" w:hAnsi="Times New Roman" w:cs="Times New Roman"/>
          <w:sz w:val="24"/>
          <w:szCs w:val="24"/>
        </w:rPr>
        <w:t xml:space="preserve">and fairly higher </w:t>
      </w:r>
      <w:r w:rsidR="00913236">
        <w:rPr>
          <w:rFonts w:ascii="Times New Roman" w:hAnsi="Times New Roman" w:cs="Times New Roman"/>
          <w:sz w:val="24"/>
          <w:szCs w:val="24"/>
        </w:rPr>
        <w:t>when compared to</w:t>
      </w:r>
      <w:r w:rsidR="00262BBA">
        <w:rPr>
          <w:rFonts w:ascii="Times New Roman" w:hAnsi="Times New Roman" w:cs="Times New Roman"/>
          <w:sz w:val="24"/>
          <w:szCs w:val="24"/>
        </w:rPr>
        <w:t xml:space="preserve"> Guya</w:t>
      </w:r>
      <w:r w:rsidR="00126DFC">
        <w:rPr>
          <w:rFonts w:ascii="Times New Roman" w:hAnsi="Times New Roman" w:cs="Times New Roman"/>
          <w:sz w:val="24"/>
          <w:szCs w:val="24"/>
        </w:rPr>
        <w:t xml:space="preserve">na (1,087 kWh). </w:t>
      </w:r>
      <w:bookmarkStart w:id="22" w:name="_Toc485128751"/>
      <w:r w:rsidR="007C17A9">
        <w:rPr>
          <w:rFonts w:ascii="Times New Roman" w:hAnsi="Times New Roman" w:cs="Times New Roman"/>
          <w:sz w:val="24"/>
          <w:szCs w:val="24"/>
        </w:rPr>
        <w:t>When compared to countries out of the Caribbean, Ivory Coast and India was much lower.  This may be primarily due to the level of poverty and low accessibility to electricity.</w:t>
      </w:r>
    </w:p>
    <w:p w:rsidR="007C17A9" w:rsidRDefault="007C17A9" w:rsidP="00126DFC">
      <w:pPr>
        <w:pStyle w:val="NoSpacing"/>
        <w:jc w:val="both"/>
        <w:rPr>
          <w:rFonts w:ascii="Times New Roman" w:hAnsi="Times New Roman" w:cs="Times New Roman"/>
          <w:sz w:val="24"/>
          <w:szCs w:val="24"/>
        </w:rPr>
      </w:pPr>
    </w:p>
    <w:p w:rsidR="00E21088" w:rsidRPr="00D74602" w:rsidRDefault="00E42B24" w:rsidP="00126DF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4. </w:t>
      </w:r>
      <w:r w:rsidR="00E21088" w:rsidRPr="00D74602">
        <w:rPr>
          <w:rFonts w:ascii="Times New Roman" w:hAnsi="Times New Roman" w:cs="Times New Roman"/>
          <w:b/>
          <w:sz w:val="24"/>
          <w:szCs w:val="24"/>
        </w:rPr>
        <w:t xml:space="preserve"> </w:t>
      </w:r>
      <w:r w:rsidRPr="00C05062">
        <w:rPr>
          <w:rFonts w:ascii="Times New Roman" w:hAnsi="Times New Roman" w:cs="Times New Roman"/>
          <w:b/>
          <w:sz w:val="24"/>
          <w:szCs w:val="24"/>
          <w:u w:val="single"/>
        </w:rPr>
        <w:t>ORGANIZATIONAL PERFORMANCE</w:t>
      </w:r>
      <w:bookmarkEnd w:id="22"/>
    </w:p>
    <w:p w:rsidR="00E42B24" w:rsidRDefault="00E42B24" w:rsidP="004138AE">
      <w:pPr>
        <w:pStyle w:val="NoSpacing"/>
        <w:jc w:val="both"/>
        <w:rPr>
          <w:rFonts w:ascii="Times New Roman" w:hAnsi="Times New Roman" w:cs="Times New Roman"/>
          <w:b/>
          <w:sz w:val="24"/>
          <w:szCs w:val="24"/>
        </w:rPr>
      </w:pPr>
    </w:p>
    <w:p w:rsidR="00E21088" w:rsidRDefault="00E21088" w:rsidP="00875AF0">
      <w:pPr>
        <w:pStyle w:val="NoSpacing"/>
        <w:numPr>
          <w:ilvl w:val="0"/>
          <w:numId w:val="7"/>
        </w:numPr>
        <w:ind w:left="270" w:hanging="270"/>
        <w:jc w:val="both"/>
        <w:outlineLvl w:val="2"/>
        <w:rPr>
          <w:rFonts w:ascii="Times New Roman" w:hAnsi="Times New Roman" w:cs="Times New Roman"/>
          <w:b/>
          <w:sz w:val="24"/>
          <w:szCs w:val="24"/>
        </w:rPr>
      </w:pPr>
      <w:bookmarkStart w:id="23" w:name="_Toc485128752"/>
      <w:r w:rsidRPr="00D74602">
        <w:rPr>
          <w:rFonts w:ascii="Times New Roman" w:hAnsi="Times New Roman" w:cs="Times New Roman"/>
          <w:b/>
          <w:sz w:val="24"/>
          <w:szCs w:val="24"/>
        </w:rPr>
        <w:t>Average Tariff</w:t>
      </w:r>
      <w:bookmarkEnd w:id="23"/>
    </w:p>
    <w:p w:rsidR="00106E59" w:rsidRDefault="00106E59" w:rsidP="004138AE">
      <w:pPr>
        <w:pStyle w:val="NoSpacing"/>
        <w:jc w:val="both"/>
        <w:rPr>
          <w:rFonts w:ascii="Times New Roman" w:hAnsi="Times New Roman" w:cs="Times New Roman"/>
          <w:b/>
          <w:sz w:val="24"/>
          <w:szCs w:val="24"/>
        </w:rPr>
      </w:pPr>
    </w:p>
    <w:p w:rsidR="00106E59" w:rsidRDefault="00106E59" w:rsidP="004138AE">
      <w:pPr>
        <w:pStyle w:val="NoSpacing"/>
        <w:jc w:val="both"/>
        <w:rPr>
          <w:rFonts w:ascii="Times New Roman" w:hAnsi="Times New Roman" w:cs="Times New Roman"/>
          <w:sz w:val="24"/>
          <w:szCs w:val="24"/>
        </w:rPr>
      </w:pPr>
      <w:r w:rsidRPr="00106E59">
        <w:rPr>
          <w:rFonts w:ascii="Times New Roman" w:hAnsi="Times New Roman" w:cs="Times New Roman"/>
          <w:sz w:val="24"/>
          <w:szCs w:val="24"/>
        </w:rPr>
        <w:t xml:space="preserve">The </w:t>
      </w:r>
      <w:r>
        <w:rPr>
          <w:rFonts w:ascii="Times New Roman" w:hAnsi="Times New Roman" w:cs="Times New Roman"/>
          <w:sz w:val="24"/>
          <w:szCs w:val="24"/>
        </w:rPr>
        <w:t xml:space="preserve">average </w:t>
      </w:r>
      <w:r w:rsidR="008B62EB">
        <w:rPr>
          <w:rFonts w:ascii="Times New Roman" w:hAnsi="Times New Roman" w:cs="Times New Roman"/>
          <w:sz w:val="24"/>
          <w:szCs w:val="24"/>
        </w:rPr>
        <w:t>tariff measures</w:t>
      </w:r>
      <w:r>
        <w:rPr>
          <w:rFonts w:ascii="Times New Roman" w:hAnsi="Times New Roman" w:cs="Times New Roman"/>
          <w:sz w:val="24"/>
          <w:szCs w:val="24"/>
        </w:rPr>
        <w:t xml:space="preserve"> the</w:t>
      </w:r>
      <w:r w:rsidR="00093F70">
        <w:rPr>
          <w:rFonts w:ascii="Times New Roman" w:hAnsi="Times New Roman" w:cs="Times New Roman"/>
          <w:sz w:val="24"/>
          <w:szCs w:val="24"/>
        </w:rPr>
        <w:t xml:space="preserve"> average</w:t>
      </w:r>
      <w:r>
        <w:rPr>
          <w:rFonts w:ascii="Times New Roman" w:hAnsi="Times New Roman" w:cs="Times New Roman"/>
          <w:sz w:val="24"/>
          <w:szCs w:val="24"/>
        </w:rPr>
        <w:t xml:space="preserve"> price paid to the</w:t>
      </w:r>
      <w:r w:rsidR="008B62EB">
        <w:rPr>
          <w:rFonts w:ascii="Times New Roman" w:hAnsi="Times New Roman" w:cs="Times New Roman"/>
          <w:sz w:val="24"/>
          <w:szCs w:val="24"/>
        </w:rPr>
        <w:t xml:space="preserve"> electric</w:t>
      </w:r>
      <w:r>
        <w:rPr>
          <w:rFonts w:ascii="Times New Roman" w:hAnsi="Times New Roman" w:cs="Times New Roman"/>
          <w:sz w:val="24"/>
          <w:szCs w:val="24"/>
        </w:rPr>
        <w:t xml:space="preserve"> </w:t>
      </w:r>
      <w:r w:rsidR="00093F70">
        <w:rPr>
          <w:rFonts w:ascii="Times New Roman" w:hAnsi="Times New Roman" w:cs="Times New Roman"/>
          <w:sz w:val="24"/>
          <w:szCs w:val="24"/>
        </w:rPr>
        <w:t>utility for each kWh of electricity consumed over a period in time.</w:t>
      </w:r>
      <w:r w:rsidR="008033B0">
        <w:rPr>
          <w:rFonts w:ascii="Times New Roman" w:hAnsi="Times New Roman" w:cs="Times New Roman"/>
          <w:sz w:val="24"/>
          <w:szCs w:val="24"/>
        </w:rPr>
        <w:t xml:space="preserve"> </w:t>
      </w:r>
      <w:r w:rsidR="008B62EB">
        <w:rPr>
          <w:rFonts w:ascii="Times New Roman" w:hAnsi="Times New Roman" w:cs="Times New Roman"/>
          <w:sz w:val="24"/>
          <w:szCs w:val="24"/>
        </w:rPr>
        <w:t xml:space="preserve"> </w:t>
      </w:r>
      <w:r w:rsidR="00093F70">
        <w:rPr>
          <w:rFonts w:ascii="Times New Roman" w:hAnsi="Times New Roman" w:cs="Times New Roman"/>
          <w:sz w:val="24"/>
          <w:szCs w:val="24"/>
        </w:rPr>
        <w:t xml:space="preserve"> </w:t>
      </w:r>
      <w:r w:rsidR="00461F37">
        <w:rPr>
          <w:rFonts w:ascii="Times New Roman" w:hAnsi="Times New Roman" w:cs="Times New Roman"/>
          <w:sz w:val="24"/>
          <w:szCs w:val="24"/>
        </w:rPr>
        <w:t xml:space="preserve"> The indicator</w:t>
      </w:r>
      <w:r w:rsidR="008033B0">
        <w:rPr>
          <w:rFonts w:ascii="Times New Roman" w:hAnsi="Times New Roman" w:cs="Times New Roman"/>
          <w:sz w:val="24"/>
          <w:szCs w:val="24"/>
        </w:rPr>
        <w:t xml:space="preserve"> is calculated as:</w:t>
      </w:r>
    </w:p>
    <w:p w:rsidR="008033B0" w:rsidRDefault="008033B0" w:rsidP="004138AE">
      <w:pPr>
        <w:pStyle w:val="NoSpacing"/>
        <w:jc w:val="both"/>
        <w:rPr>
          <w:rFonts w:ascii="Times New Roman" w:hAnsi="Times New Roman" w:cs="Times New Roman"/>
          <w:sz w:val="24"/>
          <w:szCs w:val="24"/>
        </w:rPr>
      </w:pPr>
    </w:p>
    <w:p w:rsidR="008033B0" w:rsidRDefault="008033B0" w:rsidP="004138AE">
      <w:pPr>
        <w:pStyle w:val="NoSpacing"/>
        <w:jc w:val="both"/>
        <w:rPr>
          <w:rFonts w:ascii="Times New Roman" w:hAnsi="Times New Roman" w:cs="Times New Roman"/>
          <w:sz w:val="24"/>
          <w:szCs w:val="24"/>
        </w:rPr>
      </w:pPr>
      <w:r>
        <w:rPr>
          <w:rFonts w:ascii="Times New Roman" w:hAnsi="Times New Roman" w:cs="Times New Roman"/>
          <w:sz w:val="24"/>
          <w:szCs w:val="24"/>
        </w:rPr>
        <w:t>Average Tariff   = Total Revenue from Electricity billed/Electricity billed in kWh</w:t>
      </w:r>
    </w:p>
    <w:p w:rsidR="00797D89" w:rsidRDefault="00797D89" w:rsidP="004138AE">
      <w:pPr>
        <w:pStyle w:val="NoSpacing"/>
        <w:jc w:val="both"/>
        <w:rPr>
          <w:rFonts w:ascii="Times New Roman" w:hAnsi="Times New Roman" w:cs="Times New Roman"/>
          <w:sz w:val="24"/>
          <w:szCs w:val="24"/>
        </w:rPr>
      </w:pPr>
    </w:p>
    <w:p w:rsidR="00C80865" w:rsidRDefault="00C80865" w:rsidP="004138AE">
      <w:pPr>
        <w:pStyle w:val="NoSpacing"/>
        <w:jc w:val="both"/>
        <w:rPr>
          <w:rFonts w:ascii="Times New Roman" w:hAnsi="Times New Roman" w:cs="Times New Roman"/>
          <w:sz w:val="24"/>
          <w:szCs w:val="24"/>
        </w:rPr>
      </w:pPr>
    </w:p>
    <w:p w:rsidR="00153AE1" w:rsidRPr="00A74A1B" w:rsidRDefault="00A74A1B" w:rsidP="004138AE">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004138AE">
        <w:rPr>
          <w:rFonts w:ascii="Times New Roman" w:hAnsi="Times New Roman" w:cs="Times New Roman"/>
          <w:sz w:val="24"/>
          <w:szCs w:val="24"/>
        </w:rPr>
        <w:t xml:space="preserve">            </w:t>
      </w:r>
      <w:r>
        <w:rPr>
          <w:rFonts w:ascii="Times New Roman" w:hAnsi="Times New Roman" w:cs="Times New Roman"/>
          <w:sz w:val="24"/>
          <w:szCs w:val="24"/>
        </w:rPr>
        <w:t xml:space="preserve"> </w:t>
      </w:r>
      <w:r w:rsidR="00797D89">
        <w:rPr>
          <w:rFonts w:ascii="Times New Roman" w:hAnsi="Times New Roman" w:cs="Times New Roman"/>
          <w:b/>
          <w:sz w:val="24"/>
          <w:szCs w:val="24"/>
        </w:rPr>
        <w:t>Table 12</w:t>
      </w:r>
      <w:r w:rsidR="00153AE1" w:rsidRPr="00A74A1B">
        <w:rPr>
          <w:rFonts w:ascii="Times New Roman" w:hAnsi="Times New Roman" w:cs="Times New Roman"/>
          <w:b/>
          <w:sz w:val="24"/>
          <w:szCs w:val="24"/>
        </w:rPr>
        <w:t xml:space="preserve"> Average Tariff 2012 -2016</w:t>
      </w:r>
    </w:p>
    <w:p w:rsidR="00153AE1" w:rsidRDefault="00153AE1" w:rsidP="004138AE">
      <w:pPr>
        <w:pStyle w:val="NoSpacing"/>
        <w:jc w:val="both"/>
        <w:rPr>
          <w:rFonts w:ascii="Times New Roman" w:hAnsi="Times New Roman" w:cs="Times New Roman"/>
          <w:sz w:val="24"/>
          <w:szCs w:val="24"/>
        </w:rPr>
      </w:pPr>
    </w:p>
    <w:tbl>
      <w:tblPr>
        <w:tblW w:w="5760" w:type="dxa"/>
        <w:tblInd w:w="828" w:type="dxa"/>
        <w:tblLook w:val="04A0"/>
      </w:tblPr>
      <w:tblGrid>
        <w:gridCol w:w="1260"/>
        <w:gridCol w:w="1530"/>
        <w:gridCol w:w="1350"/>
        <w:gridCol w:w="1620"/>
      </w:tblGrid>
      <w:tr w:rsidR="00866BAB" w:rsidRPr="0089261D" w:rsidTr="004138AE">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 </w:t>
            </w:r>
          </w:p>
        </w:tc>
        <w:tc>
          <w:tcPr>
            <w:tcW w:w="4500" w:type="dxa"/>
            <w:gridSpan w:val="3"/>
            <w:tcBorders>
              <w:top w:val="single" w:sz="4" w:space="0" w:color="auto"/>
              <w:bottom w:val="single" w:sz="4" w:space="0" w:color="auto"/>
              <w:right w:val="single" w:sz="4" w:space="0" w:color="auto"/>
            </w:tcBorders>
            <w:shd w:val="clear" w:color="auto" w:fill="auto"/>
          </w:tcPr>
          <w:p w:rsidR="00866BAB" w:rsidRPr="00866BAB" w:rsidRDefault="00866BAB" w:rsidP="004138AE">
            <w:pPr>
              <w:rPr>
                <w:b/>
              </w:rPr>
            </w:pPr>
            <w:r w:rsidRPr="00866BAB">
              <w:rPr>
                <w:b/>
              </w:rPr>
              <w:t>Average Tariff</w:t>
            </w:r>
            <w:r w:rsidR="0069517C">
              <w:rPr>
                <w:b/>
              </w:rPr>
              <w:t xml:space="preserve">  in  - EC$</w:t>
            </w:r>
          </w:p>
        </w:tc>
      </w:tr>
      <w:tr w:rsidR="00866BAB" w:rsidRPr="0089261D" w:rsidTr="004138AE">
        <w:trPr>
          <w:trHeight w:val="9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66BAB" w:rsidRPr="00A74A1B" w:rsidRDefault="00866BAB" w:rsidP="004138AE">
            <w:pPr>
              <w:rPr>
                <w:rFonts w:ascii="Calibri" w:eastAsia="Times New Roman" w:hAnsi="Calibri" w:cs="Times New Roman"/>
                <w:b/>
                <w:color w:val="000000"/>
              </w:rPr>
            </w:pPr>
            <w:r w:rsidRPr="00A74A1B">
              <w:rPr>
                <w:rFonts w:ascii="Calibri" w:eastAsia="Times New Roman" w:hAnsi="Calibri" w:cs="Times New Roman"/>
                <w:b/>
                <w:color w:val="000000"/>
              </w:rPr>
              <w:t>Years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66BAB" w:rsidRPr="00A74A1B" w:rsidRDefault="00866BAB" w:rsidP="004138AE">
            <w:pPr>
              <w:rPr>
                <w:rFonts w:ascii="Calibri" w:eastAsia="Times New Roman" w:hAnsi="Calibri" w:cs="Times New Roman"/>
                <w:b/>
                <w:color w:val="000000"/>
              </w:rPr>
            </w:pPr>
            <w:r w:rsidRPr="00A74A1B">
              <w:rPr>
                <w:rFonts w:ascii="Calibri" w:eastAsia="Times New Roman" w:hAnsi="Calibri" w:cs="Times New Roman"/>
                <w:b/>
                <w:color w:val="000000"/>
              </w:rPr>
              <w:t>DOMLEC</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66BAB" w:rsidRPr="00A74A1B" w:rsidRDefault="00866BAB" w:rsidP="004138AE">
            <w:pPr>
              <w:rPr>
                <w:rFonts w:ascii="Calibri" w:eastAsia="Times New Roman" w:hAnsi="Calibri" w:cs="Times New Roman"/>
                <w:b/>
                <w:color w:val="000000"/>
              </w:rPr>
            </w:pPr>
            <w:r w:rsidRPr="00A74A1B">
              <w:rPr>
                <w:rFonts w:ascii="Calibri" w:eastAsia="Times New Roman" w:hAnsi="Calibri" w:cs="Times New Roman"/>
                <w:b/>
                <w:color w:val="000000"/>
              </w:rPr>
              <w:t>LUCELEC</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66BAB" w:rsidRPr="00A74A1B" w:rsidRDefault="00866BAB" w:rsidP="004138AE">
            <w:pPr>
              <w:rPr>
                <w:rFonts w:ascii="Calibri" w:eastAsia="Times New Roman" w:hAnsi="Calibri" w:cs="Times New Roman"/>
                <w:b/>
                <w:color w:val="000000"/>
              </w:rPr>
            </w:pPr>
            <w:r w:rsidRPr="00A74A1B">
              <w:rPr>
                <w:rFonts w:ascii="Calibri" w:eastAsia="Times New Roman" w:hAnsi="Calibri" w:cs="Times New Roman"/>
                <w:b/>
                <w:color w:val="000000"/>
              </w:rPr>
              <w:t xml:space="preserve"> GRENLEC</w:t>
            </w:r>
          </w:p>
        </w:tc>
      </w:tr>
      <w:tr w:rsidR="00866BAB" w:rsidRPr="0089261D" w:rsidTr="004138A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 </w:t>
            </w:r>
          </w:p>
        </w:tc>
      </w:tr>
      <w:tr w:rsidR="00866BAB" w:rsidRPr="0089261D" w:rsidTr="004138A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2012</w:t>
            </w:r>
          </w:p>
        </w:tc>
        <w:tc>
          <w:tcPr>
            <w:tcW w:w="153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1.17</w:t>
            </w:r>
          </w:p>
        </w:tc>
        <w:tc>
          <w:tcPr>
            <w:tcW w:w="135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0.88</w:t>
            </w:r>
          </w:p>
        </w:tc>
        <w:tc>
          <w:tcPr>
            <w:tcW w:w="162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1.09</w:t>
            </w:r>
          </w:p>
        </w:tc>
      </w:tr>
      <w:tr w:rsidR="00866BAB" w:rsidRPr="0089261D" w:rsidTr="004138A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1.10</w:t>
            </w:r>
          </w:p>
        </w:tc>
        <w:tc>
          <w:tcPr>
            <w:tcW w:w="135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0.86</w:t>
            </w:r>
          </w:p>
        </w:tc>
        <w:tc>
          <w:tcPr>
            <w:tcW w:w="162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1.08</w:t>
            </w:r>
          </w:p>
        </w:tc>
      </w:tr>
      <w:tr w:rsidR="00866BAB" w:rsidRPr="0089261D" w:rsidTr="004138A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1.10</w:t>
            </w:r>
          </w:p>
        </w:tc>
        <w:tc>
          <w:tcPr>
            <w:tcW w:w="135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0.85</w:t>
            </w:r>
          </w:p>
        </w:tc>
        <w:tc>
          <w:tcPr>
            <w:tcW w:w="162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1.05</w:t>
            </w:r>
          </w:p>
        </w:tc>
      </w:tr>
      <w:tr w:rsidR="00866BAB" w:rsidRPr="0089261D" w:rsidTr="004138A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0.98</w:t>
            </w:r>
          </w:p>
        </w:tc>
        <w:tc>
          <w:tcPr>
            <w:tcW w:w="135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0.92</w:t>
            </w:r>
          </w:p>
        </w:tc>
        <w:tc>
          <w:tcPr>
            <w:tcW w:w="162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0.81</w:t>
            </w:r>
          </w:p>
        </w:tc>
      </w:tr>
      <w:tr w:rsidR="00866BAB" w:rsidRPr="0089261D" w:rsidTr="004138A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2016</w:t>
            </w:r>
          </w:p>
        </w:tc>
        <w:tc>
          <w:tcPr>
            <w:tcW w:w="153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0.68</w:t>
            </w:r>
          </w:p>
        </w:tc>
        <w:tc>
          <w:tcPr>
            <w:tcW w:w="135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Pr>
                <w:rFonts w:ascii="Calibri" w:eastAsia="Times New Roman" w:hAnsi="Calibri" w:cs="Times New Roman"/>
                <w:color w:val="000000"/>
              </w:rPr>
              <w:t>NA</w:t>
            </w:r>
          </w:p>
        </w:tc>
        <w:tc>
          <w:tcPr>
            <w:tcW w:w="1620" w:type="dxa"/>
            <w:tcBorders>
              <w:top w:val="nil"/>
              <w:left w:val="nil"/>
              <w:bottom w:val="single" w:sz="4" w:space="0" w:color="auto"/>
              <w:right w:val="single" w:sz="4" w:space="0" w:color="auto"/>
            </w:tcBorders>
            <w:shd w:val="clear" w:color="auto" w:fill="auto"/>
            <w:noWrap/>
            <w:vAlign w:val="bottom"/>
            <w:hideMark/>
          </w:tcPr>
          <w:p w:rsidR="00866BAB" w:rsidRPr="0089261D" w:rsidRDefault="00866BAB" w:rsidP="004138AE">
            <w:pPr>
              <w:rPr>
                <w:rFonts w:ascii="Calibri" w:eastAsia="Times New Roman" w:hAnsi="Calibri" w:cs="Times New Roman"/>
                <w:color w:val="000000"/>
              </w:rPr>
            </w:pPr>
            <w:r w:rsidRPr="0089261D">
              <w:rPr>
                <w:rFonts w:ascii="Calibri" w:eastAsia="Times New Roman" w:hAnsi="Calibri" w:cs="Times New Roman"/>
                <w:color w:val="000000"/>
              </w:rPr>
              <w:t xml:space="preserve"> </w:t>
            </w:r>
            <w:r>
              <w:rPr>
                <w:rFonts w:ascii="Calibri" w:eastAsia="Times New Roman" w:hAnsi="Calibri" w:cs="Times New Roman"/>
                <w:color w:val="000000"/>
              </w:rPr>
              <w:t>NA</w:t>
            </w:r>
          </w:p>
        </w:tc>
      </w:tr>
    </w:tbl>
    <w:p w:rsidR="00153AE1" w:rsidRDefault="00153AE1" w:rsidP="004138AE">
      <w:pPr>
        <w:pStyle w:val="NoSpacing"/>
        <w:jc w:val="both"/>
        <w:rPr>
          <w:rFonts w:ascii="Times New Roman" w:hAnsi="Times New Roman" w:cs="Times New Roman"/>
          <w:sz w:val="24"/>
          <w:szCs w:val="24"/>
        </w:rPr>
      </w:pPr>
    </w:p>
    <w:p w:rsidR="004138AE" w:rsidRDefault="004138AE" w:rsidP="004138AE">
      <w:pPr>
        <w:pStyle w:val="NoSpacing"/>
        <w:jc w:val="both"/>
        <w:rPr>
          <w:rFonts w:ascii="Times New Roman" w:hAnsi="Times New Roman" w:cs="Times New Roman"/>
          <w:sz w:val="24"/>
          <w:szCs w:val="24"/>
        </w:rPr>
      </w:pPr>
    </w:p>
    <w:p w:rsidR="006B2B07" w:rsidRDefault="00812E3D" w:rsidP="004138AE">
      <w:pPr>
        <w:pStyle w:val="NoSpacing"/>
        <w:jc w:val="both"/>
        <w:rPr>
          <w:rFonts w:ascii="Times New Roman" w:hAnsi="Times New Roman" w:cs="Times New Roman"/>
          <w:sz w:val="24"/>
          <w:szCs w:val="24"/>
        </w:rPr>
      </w:pPr>
      <w:r>
        <w:rPr>
          <w:rFonts w:ascii="Times New Roman" w:hAnsi="Times New Roman" w:cs="Times New Roman"/>
          <w:sz w:val="24"/>
          <w:szCs w:val="24"/>
        </w:rPr>
        <w:t>DOMLEC’s</w:t>
      </w:r>
      <w:r w:rsidR="00866BAB">
        <w:rPr>
          <w:rFonts w:ascii="Times New Roman" w:hAnsi="Times New Roman" w:cs="Times New Roman"/>
          <w:sz w:val="24"/>
          <w:szCs w:val="24"/>
        </w:rPr>
        <w:t xml:space="preserve"> </w:t>
      </w:r>
      <w:r w:rsidR="00AD6089">
        <w:rPr>
          <w:rFonts w:ascii="Times New Roman" w:hAnsi="Times New Roman" w:cs="Times New Roman"/>
          <w:sz w:val="24"/>
          <w:szCs w:val="24"/>
        </w:rPr>
        <w:t>tariff s</w:t>
      </w:r>
      <w:r w:rsidR="00153AE1">
        <w:rPr>
          <w:rFonts w:ascii="Times New Roman" w:hAnsi="Times New Roman" w:cs="Times New Roman"/>
          <w:sz w:val="24"/>
          <w:szCs w:val="24"/>
        </w:rPr>
        <w:t xml:space="preserve">tructure comprises of energy </w:t>
      </w:r>
      <w:r>
        <w:rPr>
          <w:rFonts w:ascii="Times New Roman" w:hAnsi="Times New Roman" w:cs="Times New Roman"/>
          <w:sz w:val="24"/>
          <w:szCs w:val="24"/>
        </w:rPr>
        <w:t>charge per kWh, minimum monthly charge and fuel surcharge</w:t>
      </w:r>
      <w:r w:rsidR="00BA3907">
        <w:rPr>
          <w:rFonts w:ascii="Times New Roman" w:hAnsi="Times New Roman" w:cs="Times New Roman"/>
          <w:sz w:val="24"/>
          <w:szCs w:val="24"/>
        </w:rPr>
        <w:t xml:space="preserve"> </w:t>
      </w:r>
      <w:r w:rsidR="00EA14A6">
        <w:rPr>
          <w:rFonts w:ascii="Times New Roman" w:hAnsi="Times New Roman" w:cs="Times New Roman"/>
          <w:sz w:val="24"/>
          <w:szCs w:val="24"/>
        </w:rPr>
        <w:t>to consumers</w:t>
      </w:r>
      <w:r w:rsidR="00BA3907">
        <w:rPr>
          <w:rFonts w:ascii="Times New Roman" w:hAnsi="Times New Roman" w:cs="Times New Roman"/>
          <w:sz w:val="24"/>
          <w:szCs w:val="24"/>
        </w:rPr>
        <w:t xml:space="preserve"> of electricity</w:t>
      </w:r>
      <w:r>
        <w:rPr>
          <w:rFonts w:ascii="Times New Roman" w:hAnsi="Times New Roman" w:cs="Times New Roman"/>
          <w:sz w:val="24"/>
          <w:szCs w:val="24"/>
        </w:rPr>
        <w:t xml:space="preserve">. </w:t>
      </w:r>
      <w:r w:rsidR="00AD6089">
        <w:rPr>
          <w:rFonts w:ascii="Times New Roman" w:hAnsi="Times New Roman" w:cs="Times New Roman"/>
          <w:sz w:val="24"/>
          <w:szCs w:val="24"/>
        </w:rPr>
        <w:t xml:space="preserve">The average tariff dropped steadily from 2012 to 2016 </w:t>
      </w:r>
      <w:r w:rsidR="006D4C89">
        <w:rPr>
          <w:rFonts w:ascii="Times New Roman" w:hAnsi="Times New Roman" w:cs="Times New Roman"/>
          <w:sz w:val="24"/>
          <w:szCs w:val="24"/>
        </w:rPr>
        <w:t xml:space="preserve">but the </w:t>
      </w:r>
      <w:r w:rsidR="00AD6089">
        <w:rPr>
          <w:rFonts w:ascii="Times New Roman" w:hAnsi="Times New Roman" w:cs="Times New Roman"/>
          <w:sz w:val="24"/>
          <w:szCs w:val="24"/>
        </w:rPr>
        <w:t xml:space="preserve">decrease </w:t>
      </w:r>
      <w:r w:rsidR="006D4C89">
        <w:rPr>
          <w:rFonts w:ascii="Times New Roman" w:hAnsi="Times New Roman" w:cs="Times New Roman"/>
          <w:sz w:val="24"/>
          <w:szCs w:val="24"/>
        </w:rPr>
        <w:t>was most pronounced</w:t>
      </w:r>
      <w:r w:rsidR="00AD6089">
        <w:rPr>
          <w:rFonts w:ascii="Times New Roman" w:hAnsi="Times New Roman" w:cs="Times New Roman"/>
          <w:sz w:val="24"/>
          <w:szCs w:val="24"/>
        </w:rPr>
        <w:t xml:space="preserve"> in 2016</w:t>
      </w:r>
      <w:r w:rsidR="006D4C89">
        <w:rPr>
          <w:rFonts w:ascii="Times New Roman" w:hAnsi="Times New Roman" w:cs="Times New Roman"/>
          <w:sz w:val="24"/>
          <w:szCs w:val="24"/>
        </w:rPr>
        <w:t>.</w:t>
      </w:r>
      <w:r>
        <w:rPr>
          <w:rFonts w:ascii="Times New Roman" w:hAnsi="Times New Roman" w:cs="Times New Roman"/>
          <w:sz w:val="24"/>
          <w:szCs w:val="24"/>
        </w:rPr>
        <w:t xml:space="preserve"> As noted from </w:t>
      </w:r>
      <w:r w:rsidR="00BA3907">
        <w:rPr>
          <w:rFonts w:ascii="Times New Roman" w:hAnsi="Times New Roman" w:cs="Times New Roman"/>
          <w:sz w:val="24"/>
          <w:szCs w:val="24"/>
        </w:rPr>
        <w:t>t</w:t>
      </w:r>
      <w:r>
        <w:rPr>
          <w:rFonts w:ascii="Times New Roman" w:hAnsi="Times New Roman" w:cs="Times New Roman"/>
          <w:sz w:val="24"/>
          <w:szCs w:val="24"/>
        </w:rPr>
        <w:t>abl</w:t>
      </w:r>
      <w:r w:rsidR="003C00B5">
        <w:rPr>
          <w:rFonts w:ascii="Times New Roman" w:hAnsi="Times New Roman" w:cs="Times New Roman"/>
          <w:sz w:val="24"/>
          <w:szCs w:val="24"/>
        </w:rPr>
        <w:t>e 1</w:t>
      </w:r>
      <w:r w:rsidR="006D4C89">
        <w:rPr>
          <w:rFonts w:ascii="Times New Roman" w:hAnsi="Times New Roman" w:cs="Times New Roman"/>
          <w:sz w:val="24"/>
          <w:szCs w:val="24"/>
        </w:rPr>
        <w:t>2</w:t>
      </w:r>
      <w:r>
        <w:rPr>
          <w:rFonts w:ascii="Times New Roman" w:hAnsi="Times New Roman" w:cs="Times New Roman"/>
          <w:sz w:val="24"/>
          <w:szCs w:val="24"/>
        </w:rPr>
        <w:t xml:space="preserve">, the company’s </w:t>
      </w:r>
      <w:r w:rsidR="002C0303" w:rsidRPr="00D74602">
        <w:rPr>
          <w:rFonts w:ascii="Times New Roman" w:hAnsi="Times New Roman" w:cs="Times New Roman"/>
          <w:sz w:val="24"/>
          <w:szCs w:val="24"/>
        </w:rPr>
        <w:t>average</w:t>
      </w:r>
      <w:r w:rsidR="00E21088" w:rsidRPr="00D74602">
        <w:rPr>
          <w:rFonts w:ascii="Times New Roman" w:hAnsi="Times New Roman" w:cs="Times New Roman"/>
          <w:sz w:val="24"/>
          <w:szCs w:val="24"/>
        </w:rPr>
        <w:t xml:space="preserve"> </w:t>
      </w:r>
      <w:r w:rsidRPr="00D74602">
        <w:rPr>
          <w:rFonts w:ascii="Times New Roman" w:hAnsi="Times New Roman" w:cs="Times New Roman"/>
          <w:sz w:val="24"/>
          <w:szCs w:val="24"/>
        </w:rPr>
        <w:t>tariff</w:t>
      </w:r>
      <w:r>
        <w:rPr>
          <w:rFonts w:ascii="Times New Roman" w:hAnsi="Times New Roman" w:cs="Times New Roman"/>
          <w:sz w:val="24"/>
          <w:szCs w:val="24"/>
        </w:rPr>
        <w:t xml:space="preserve"> fell</w:t>
      </w:r>
      <w:r w:rsidR="00FC267E">
        <w:rPr>
          <w:rFonts w:ascii="Times New Roman" w:hAnsi="Times New Roman" w:cs="Times New Roman"/>
          <w:sz w:val="24"/>
          <w:szCs w:val="24"/>
        </w:rPr>
        <w:t xml:space="preserve"> by 41.88% </w:t>
      </w:r>
      <w:r w:rsidR="006D4C89">
        <w:rPr>
          <w:rFonts w:ascii="Times New Roman" w:hAnsi="Times New Roman" w:cs="Times New Roman"/>
          <w:sz w:val="24"/>
          <w:szCs w:val="24"/>
        </w:rPr>
        <w:t>over</w:t>
      </w:r>
      <w:r w:rsidR="00AD6089">
        <w:rPr>
          <w:rFonts w:ascii="Times New Roman" w:hAnsi="Times New Roman" w:cs="Times New Roman"/>
          <w:sz w:val="24"/>
          <w:szCs w:val="24"/>
        </w:rPr>
        <w:t xml:space="preserve"> the past five years</w:t>
      </w:r>
      <w:r>
        <w:rPr>
          <w:rFonts w:ascii="Times New Roman" w:hAnsi="Times New Roman" w:cs="Times New Roman"/>
          <w:sz w:val="24"/>
          <w:szCs w:val="24"/>
        </w:rPr>
        <w:t>.   This was primarily</w:t>
      </w:r>
      <w:r w:rsidR="0089261D">
        <w:rPr>
          <w:rFonts w:ascii="Times New Roman" w:hAnsi="Times New Roman" w:cs="Times New Roman"/>
          <w:sz w:val="24"/>
          <w:szCs w:val="24"/>
        </w:rPr>
        <w:t xml:space="preserve"> </w:t>
      </w:r>
      <w:r>
        <w:rPr>
          <w:rFonts w:ascii="Times New Roman" w:hAnsi="Times New Roman" w:cs="Times New Roman"/>
          <w:sz w:val="24"/>
          <w:szCs w:val="24"/>
        </w:rPr>
        <w:t xml:space="preserve">due to the </w:t>
      </w:r>
      <w:r w:rsidR="008B62EB">
        <w:rPr>
          <w:rFonts w:ascii="Times New Roman" w:hAnsi="Times New Roman" w:cs="Times New Roman"/>
          <w:sz w:val="24"/>
          <w:szCs w:val="24"/>
        </w:rPr>
        <w:t>redu</w:t>
      </w:r>
      <w:r>
        <w:rPr>
          <w:rFonts w:ascii="Times New Roman" w:hAnsi="Times New Roman" w:cs="Times New Roman"/>
          <w:sz w:val="24"/>
          <w:szCs w:val="24"/>
        </w:rPr>
        <w:t>ction in</w:t>
      </w:r>
      <w:r w:rsidR="00AD6089">
        <w:rPr>
          <w:rFonts w:ascii="Times New Roman" w:hAnsi="Times New Roman" w:cs="Times New Roman"/>
          <w:sz w:val="24"/>
          <w:szCs w:val="24"/>
        </w:rPr>
        <w:t xml:space="preserve"> </w:t>
      </w:r>
      <w:r w:rsidR="006D4C89">
        <w:rPr>
          <w:rFonts w:ascii="Times New Roman" w:hAnsi="Times New Roman" w:cs="Times New Roman"/>
          <w:sz w:val="24"/>
          <w:szCs w:val="24"/>
        </w:rPr>
        <w:t xml:space="preserve">the price of oil </w:t>
      </w:r>
      <w:r w:rsidR="00AD6089">
        <w:rPr>
          <w:rFonts w:ascii="Times New Roman" w:hAnsi="Times New Roman" w:cs="Times New Roman"/>
          <w:sz w:val="24"/>
          <w:szCs w:val="24"/>
        </w:rPr>
        <w:t>on the global market</w:t>
      </w:r>
      <w:r w:rsidR="006D4C89">
        <w:rPr>
          <w:rFonts w:ascii="Times New Roman" w:hAnsi="Times New Roman" w:cs="Times New Roman"/>
          <w:sz w:val="24"/>
          <w:szCs w:val="24"/>
        </w:rPr>
        <w:t xml:space="preserve"> and the consequent reduction in the cost of fuel to DOMLEC.</w:t>
      </w:r>
      <w:r w:rsidR="00BA3907">
        <w:rPr>
          <w:rFonts w:ascii="Times New Roman" w:hAnsi="Times New Roman" w:cs="Times New Roman"/>
          <w:sz w:val="24"/>
          <w:szCs w:val="24"/>
        </w:rPr>
        <w:t xml:space="preserve"> Notably, </w:t>
      </w:r>
      <w:r w:rsidR="00AD6089">
        <w:rPr>
          <w:rFonts w:ascii="Times New Roman" w:hAnsi="Times New Roman" w:cs="Times New Roman"/>
          <w:sz w:val="24"/>
          <w:szCs w:val="24"/>
        </w:rPr>
        <w:t>DOMLEC’s average</w:t>
      </w:r>
      <w:r w:rsidR="00BA3907">
        <w:rPr>
          <w:rFonts w:ascii="Times New Roman" w:hAnsi="Times New Roman" w:cs="Times New Roman"/>
          <w:sz w:val="24"/>
          <w:szCs w:val="24"/>
        </w:rPr>
        <w:t xml:space="preserve"> </w:t>
      </w:r>
      <w:r w:rsidR="00AD6089">
        <w:rPr>
          <w:rFonts w:ascii="Times New Roman" w:hAnsi="Times New Roman" w:cs="Times New Roman"/>
          <w:sz w:val="24"/>
          <w:szCs w:val="24"/>
        </w:rPr>
        <w:t>tariff was</w:t>
      </w:r>
      <w:r w:rsidR="00BA3907">
        <w:rPr>
          <w:rFonts w:ascii="Times New Roman" w:hAnsi="Times New Roman" w:cs="Times New Roman"/>
          <w:sz w:val="24"/>
          <w:szCs w:val="24"/>
        </w:rPr>
        <w:t xml:space="preserve"> higher when </w:t>
      </w:r>
      <w:r w:rsidR="00AD6089">
        <w:rPr>
          <w:rFonts w:ascii="Times New Roman" w:hAnsi="Times New Roman" w:cs="Times New Roman"/>
          <w:sz w:val="24"/>
          <w:szCs w:val="24"/>
        </w:rPr>
        <w:t>compared to the</w:t>
      </w:r>
      <w:r w:rsidR="00BA3907">
        <w:rPr>
          <w:rFonts w:ascii="Times New Roman" w:hAnsi="Times New Roman" w:cs="Times New Roman"/>
          <w:sz w:val="24"/>
          <w:szCs w:val="24"/>
        </w:rPr>
        <w:t xml:space="preserve"> two electric utilities in the OECS</w:t>
      </w:r>
      <w:r w:rsidR="00EA14A6">
        <w:rPr>
          <w:rFonts w:ascii="Times New Roman" w:hAnsi="Times New Roman" w:cs="Times New Roman"/>
          <w:sz w:val="24"/>
          <w:szCs w:val="24"/>
        </w:rPr>
        <w:t>.</w:t>
      </w:r>
      <w:r w:rsidR="00BA3907">
        <w:rPr>
          <w:rFonts w:ascii="Times New Roman" w:hAnsi="Times New Roman" w:cs="Times New Roman"/>
          <w:sz w:val="24"/>
          <w:szCs w:val="24"/>
        </w:rPr>
        <w:t xml:space="preserve"> </w:t>
      </w:r>
    </w:p>
    <w:p w:rsidR="00AA4D9C" w:rsidRDefault="00AA4D9C" w:rsidP="004138AE">
      <w:pPr>
        <w:pStyle w:val="NoSpacing"/>
        <w:jc w:val="both"/>
        <w:rPr>
          <w:rFonts w:ascii="Times New Roman" w:hAnsi="Times New Roman" w:cs="Times New Roman"/>
          <w:sz w:val="24"/>
          <w:szCs w:val="24"/>
        </w:rPr>
      </w:pPr>
    </w:p>
    <w:p w:rsidR="00E21088" w:rsidRDefault="00F76CD6" w:rsidP="004138AE">
      <w:pPr>
        <w:pStyle w:val="NoSpacing"/>
        <w:jc w:val="both"/>
        <w:outlineLvl w:val="2"/>
        <w:rPr>
          <w:rFonts w:ascii="Times New Roman" w:hAnsi="Times New Roman" w:cs="Times New Roman"/>
          <w:b/>
          <w:sz w:val="24"/>
          <w:szCs w:val="24"/>
        </w:rPr>
      </w:pPr>
      <w:bookmarkStart w:id="24" w:name="_Toc485128753"/>
      <w:r>
        <w:rPr>
          <w:rFonts w:ascii="Times New Roman" w:hAnsi="Times New Roman" w:cs="Times New Roman"/>
          <w:b/>
          <w:sz w:val="24"/>
          <w:szCs w:val="24"/>
        </w:rPr>
        <w:t xml:space="preserve">b. </w:t>
      </w:r>
      <w:r w:rsidR="00E21088" w:rsidRPr="00F76CD6">
        <w:rPr>
          <w:rFonts w:ascii="Times New Roman" w:hAnsi="Times New Roman" w:cs="Times New Roman"/>
          <w:b/>
          <w:sz w:val="24"/>
          <w:szCs w:val="24"/>
        </w:rPr>
        <w:t>Operating Cost per (KWh)</w:t>
      </w:r>
      <w:bookmarkEnd w:id="24"/>
      <w:r w:rsidR="00EA14A6">
        <w:rPr>
          <w:rFonts w:ascii="Times New Roman" w:hAnsi="Times New Roman" w:cs="Times New Roman"/>
          <w:b/>
          <w:sz w:val="24"/>
          <w:szCs w:val="24"/>
        </w:rPr>
        <w:t xml:space="preserve"> </w:t>
      </w:r>
    </w:p>
    <w:p w:rsidR="00272658" w:rsidRDefault="00272658" w:rsidP="004138AE">
      <w:pPr>
        <w:pStyle w:val="NoSpacing"/>
        <w:jc w:val="both"/>
        <w:rPr>
          <w:rFonts w:ascii="Times New Roman" w:hAnsi="Times New Roman" w:cs="Times New Roman"/>
          <w:b/>
          <w:sz w:val="24"/>
          <w:szCs w:val="24"/>
        </w:rPr>
      </w:pPr>
    </w:p>
    <w:p w:rsidR="00E67D0E" w:rsidRDefault="00272658" w:rsidP="004138AE">
      <w:pPr>
        <w:pStyle w:val="NoSpacing"/>
        <w:jc w:val="both"/>
        <w:rPr>
          <w:rFonts w:ascii="Times New Roman" w:hAnsi="Times New Roman" w:cs="Times New Roman"/>
          <w:sz w:val="24"/>
          <w:szCs w:val="24"/>
        </w:rPr>
      </w:pPr>
      <w:r w:rsidRPr="00272658">
        <w:rPr>
          <w:rFonts w:ascii="Times New Roman" w:hAnsi="Times New Roman" w:cs="Times New Roman"/>
          <w:sz w:val="24"/>
          <w:szCs w:val="24"/>
        </w:rPr>
        <w:t>Op</w:t>
      </w:r>
      <w:r w:rsidR="00615A77">
        <w:rPr>
          <w:rFonts w:ascii="Times New Roman" w:hAnsi="Times New Roman" w:cs="Times New Roman"/>
          <w:sz w:val="24"/>
          <w:szCs w:val="24"/>
        </w:rPr>
        <w:t>erati</w:t>
      </w:r>
      <w:r w:rsidR="00F14B4A">
        <w:rPr>
          <w:rFonts w:ascii="Times New Roman" w:hAnsi="Times New Roman" w:cs="Times New Roman"/>
          <w:sz w:val="24"/>
          <w:szCs w:val="24"/>
        </w:rPr>
        <w:t xml:space="preserve">ng cost per </w:t>
      </w:r>
      <w:r w:rsidR="007D0BC9">
        <w:rPr>
          <w:rFonts w:ascii="Times New Roman" w:hAnsi="Times New Roman" w:cs="Times New Roman"/>
          <w:sz w:val="24"/>
          <w:szCs w:val="24"/>
        </w:rPr>
        <w:t>kWh measures</w:t>
      </w:r>
      <w:r w:rsidR="00615A77">
        <w:rPr>
          <w:rFonts w:ascii="Times New Roman" w:hAnsi="Times New Roman" w:cs="Times New Roman"/>
          <w:sz w:val="24"/>
          <w:szCs w:val="24"/>
        </w:rPr>
        <w:t xml:space="preserve"> how much it cost the utility to </w:t>
      </w:r>
      <w:r w:rsidR="00E67D0E">
        <w:rPr>
          <w:rFonts w:ascii="Times New Roman" w:hAnsi="Times New Roman" w:cs="Times New Roman"/>
          <w:sz w:val="24"/>
          <w:szCs w:val="24"/>
        </w:rPr>
        <w:t xml:space="preserve">generate a </w:t>
      </w:r>
      <w:r w:rsidR="00615A77">
        <w:rPr>
          <w:rFonts w:ascii="Times New Roman" w:hAnsi="Times New Roman" w:cs="Times New Roman"/>
          <w:sz w:val="24"/>
          <w:szCs w:val="24"/>
        </w:rPr>
        <w:t>kWh of electricity.</w:t>
      </w:r>
      <w:r w:rsidR="003D0587">
        <w:rPr>
          <w:rFonts w:ascii="Times New Roman" w:hAnsi="Times New Roman" w:cs="Times New Roman"/>
          <w:sz w:val="24"/>
          <w:szCs w:val="24"/>
        </w:rPr>
        <w:t xml:space="preserve">  The lower the indicator, the more efficient is the utility.</w:t>
      </w:r>
      <w:r w:rsidR="00E67D0E">
        <w:rPr>
          <w:rFonts w:ascii="Times New Roman" w:hAnsi="Times New Roman" w:cs="Times New Roman"/>
          <w:sz w:val="24"/>
          <w:szCs w:val="24"/>
        </w:rPr>
        <w:t xml:space="preserve">  The indicator is calculated as:</w:t>
      </w:r>
    </w:p>
    <w:p w:rsidR="00E67D0E" w:rsidRDefault="00E67D0E" w:rsidP="004138AE">
      <w:pPr>
        <w:pStyle w:val="NoSpacing"/>
        <w:jc w:val="both"/>
        <w:rPr>
          <w:rFonts w:ascii="Times New Roman" w:hAnsi="Times New Roman" w:cs="Times New Roman"/>
          <w:sz w:val="24"/>
          <w:szCs w:val="24"/>
        </w:rPr>
      </w:pPr>
    </w:p>
    <w:p w:rsidR="00E67D0E" w:rsidRDefault="00E67D0E" w:rsidP="004138AE">
      <w:pPr>
        <w:pStyle w:val="NoSpacing"/>
        <w:jc w:val="both"/>
        <w:rPr>
          <w:rFonts w:ascii="Times New Roman" w:hAnsi="Times New Roman" w:cs="Times New Roman"/>
          <w:sz w:val="24"/>
          <w:szCs w:val="24"/>
        </w:rPr>
      </w:pPr>
      <w:r>
        <w:rPr>
          <w:rFonts w:ascii="Times New Roman" w:hAnsi="Times New Roman" w:cs="Times New Roman"/>
          <w:sz w:val="24"/>
          <w:szCs w:val="24"/>
        </w:rPr>
        <w:t>Operating Cost per kWh   = Operating cost/Gross generation</w:t>
      </w:r>
    </w:p>
    <w:p w:rsidR="00CF7AFA" w:rsidRDefault="00CF7AFA" w:rsidP="004138AE">
      <w:pPr>
        <w:pStyle w:val="NoSpacing"/>
        <w:jc w:val="both"/>
        <w:rPr>
          <w:rFonts w:ascii="Times New Roman" w:hAnsi="Times New Roman" w:cs="Times New Roman"/>
          <w:sz w:val="24"/>
          <w:szCs w:val="24"/>
        </w:rPr>
      </w:pPr>
    </w:p>
    <w:p w:rsidR="00CF7AFA" w:rsidRDefault="00CF7AFA" w:rsidP="004138AE">
      <w:pPr>
        <w:pStyle w:val="NoSpacing"/>
        <w:jc w:val="both"/>
        <w:rPr>
          <w:rFonts w:ascii="Times New Roman" w:hAnsi="Times New Roman" w:cs="Times New Roman"/>
          <w:sz w:val="24"/>
          <w:szCs w:val="24"/>
        </w:rPr>
      </w:pPr>
    </w:p>
    <w:p w:rsidR="00CF7AFA" w:rsidRDefault="00CF7AFA" w:rsidP="004138AE">
      <w:pPr>
        <w:pStyle w:val="NoSpacing"/>
        <w:jc w:val="both"/>
        <w:rPr>
          <w:rFonts w:ascii="Times New Roman" w:hAnsi="Times New Roman" w:cs="Times New Roman"/>
          <w:sz w:val="24"/>
          <w:szCs w:val="24"/>
        </w:rPr>
      </w:pPr>
    </w:p>
    <w:p w:rsidR="00CF7AFA" w:rsidRDefault="00CF7AFA" w:rsidP="004138AE">
      <w:pPr>
        <w:pStyle w:val="NoSpacing"/>
        <w:jc w:val="both"/>
        <w:rPr>
          <w:rFonts w:ascii="Times New Roman" w:hAnsi="Times New Roman" w:cs="Times New Roman"/>
          <w:sz w:val="24"/>
          <w:szCs w:val="24"/>
        </w:rPr>
      </w:pPr>
    </w:p>
    <w:p w:rsidR="005208D9" w:rsidRDefault="005208D9" w:rsidP="004138AE">
      <w:pPr>
        <w:pStyle w:val="NoSpacing"/>
        <w:jc w:val="both"/>
        <w:rPr>
          <w:rFonts w:ascii="Times New Roman" w:hAnsi="Times New Roman" w:cs="Times New Roman"/>
          <w:sz w:val="24"/>
          <w:szCs w:val="24"/>
        </w:rPr>
      </w:pPr>
    </w:p>
    <w:p w:rsidR="005208D9" w:rsidRDefault="005208D9" w:rsidP="004138AE">
      <w:pPr>
        <w:pStyle w:val="NoSpacing"/>
        <w:jc w:val="both"/>
        <w:rPr>
          <w:rFonts w:ascii="Times New Roman" w:hAnsi="Times New Roman" w:cs="Times New Roman"/>
          <w:sz w:val="24"/>
          <w:szCs w:val="24"/>
        </w:rPr>
      </w:pPr>
    </w:p>
    <w:p w:rsidR="005208D9" w:rsidRDefault="005208D9" w:rsidP="004138AE">
      <w:pPr>
        <w:pStyle w:val="NoSpacing"/>
        <w:jc w:val="both"/>
        <w:rPr>
          <w:rFonts w:ascii="Times New Roman" w:hAnsi="Times New Roman" w:cs="Times New Roman"/>
          <w:sz w:val="24"/>
          <w:szCs w:val="24"/>
        </w:rPr>
      </w:pPr>
    </w:p>
    <w:p w:rsidR="00C80865" w:rsidRDefault="00A74A1B"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DE5E3F" w:rsidRDefault="00DE5E3F" w:rsidP="004138AE">
      <w:pPr>
        <w:pStyle w:val="NoSpacing"/>
        <w:jc w:val="both"/>
        <w:rPr>
          <w:rFonts w:ascii="Times New Roman" w:hAnsi="Times New Roman" w:cs="Times New Roman"/>
          <w:b/>
          <w:sz w:val="24"/>
          <w:szCs w:val="24"/>
        </w:rPr>
      </w:pPr>
    </w:p>
    <w:p w:rsidR="00DE5E3F" w:rsidRDefault="00DE5E3F" w:rsidP="004138AE">
      <w:pPr>
        <w:pStyle w:val="NoSpacing"/>
        <w:jc w:val="both"/>
        <w:rPr>
          <w:rFonts w:ascii="Times New Roman" w:hAnsi="Times New Roman" w:cs="Times New Roman"/>
          <w:b/>
          <w:sz w:val="24"/>
          <w:szCs w:val="24"/>
        </w:rPr>
      </w:pPr>
    </w:p>
    <w:p w:rsidR="00DE5E3F" w:rsidRDefault="00DE5E3F" w:rsidP="004138AE">
      <w:pPr>
        <w:pStyle w:val="NoSpacing"/>
        <w:jc w:val="both"/>
        <w:rPr>
          <w:rFonts w:ascii="Times New Roman" w:hAnsi="Times New Roman" w:cs="Times New Roman"/>
          <w:b/>
          <w:sz w:val="24"/>
          <w:szCs w:val="24"/>
        </w:rPr>
      </w:pPr>
    </w:p>
    <w:p w:rsidR="002050DD" w:rsidRDefault="004138AE"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2050DD" w:rsidRDefault="002050DD" w:rsidP="004138AE">
      <w:pPr>
        <w:pStyle w:val="NoSpacing"/>
        <w:jc w:val="both"/>
        <w:rPr>
          <w:rFonts w:ascii="Times New Roman" w:hAnsi="Times New Roman" w:cs="Times New Roman"/>
          <w:b/>
          <w:sz w:val="24"/>
          <w:szCs w:val="24"/>
        </w:rPr>
      </w:pPr>
    </w:p>
    <w:p w:rsidR="00EA14A6" w:rsidRPr="00F03CA4" w:rsidRDefault="004138AE" w:rsidP="004138AE">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97D89">
        <w:rPr>
          <w:rFonts w:ascii="Times New Roman" w:hAnsi="Times New Roman" w:cs="Times New Roman"/>
          <w:b/>
          <w:sz w:val="24"/>
          <w:szCs w:val="24"/>
        </w:rPr>
        <w:t>Table 13</w:t>
      </w:r>
      <w:r w:rsidR="00EA14A6" w:rsidRPr="00F03CA4">
        <w:rPr>
          <w:rFonts w:ascii="Times New Roman" w:hAnsi="Times New Roman" w:cs="Times New Roman"/>
          <w:b/>
          <w:sz w:val="24"/>
          <w:szCs w:val="24"/>
        </w:rPr>
        <w:t xml:space="preserve"> Operating cost per kWh </w:t>
      </w:r>
      <w:r w:rsidR="00F03CA4" w:rsidRPr="00F03CA4">
        <w:rPr>
          <w:rFonts w:ascii="Times New Roman" w:hAnsi="Times New Roman" w:cs="Times New Roman"/>
          <w:b/>
          <w:sz w:val="24"/>
          <w:szCs w:val="24"/>
        </w:rPr>
        <w:t>2012 to 2016</w:t>
      </w:r>
    </w:p>
    <w:p w:rsidR="00CF7AFA" w:rsidRPr="00F03CA4" w:rsidRDefault="00CF7AFA" w:rsidP="004138AE">
      <w:pPr>
        <w:pStyle w:val="NoSpacing"/>
        <w:jc w:val="both"/>
        <w:rPr>
          <w:rFonts w:ascii="Times New Roman" w:hAnsi="Times New Roman" w:cs="Times New Roman"/>
          <w:b/>
          <w:sz w:val="24"/>
          <w:szCs w:val="24"/>
        </w:rPr>
      </w:pPr>
    </w:p>
    <w:tbl>
      <w:tblPr>
        <w:tblW w:w="5580" w:type="dxa"/>
        <w:tblInd w:w="828" w:type="dxa"/>
        <w:tblLook w:val="04A0"/>
      </w:tblPr>
      <w:tblGrid>
        <w:gridCol w:w="1260"/>
        <w:gridCol w:w="1260"/>
        <w:gridCol w:w="1530"/>
        <w:gridCol w:w="1530"/>
      </w:tblGrid>
      <w:tr w:rsidR="00DE5E3F" w:rsidRPr="00CF7AFA" w:rsidTr="00F4012A">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 </w:t>
            </w:r>
          </w:p>
        </w:tc>
        <w:tc>
          <w:tcPr>
            <w:tcW w:w="4320" w:type="dxa"/>
            <w:gridSpan w:val="3"/>
            <w:tcBorders>
              <w:top w:val="single" w:sz="4" w:space="0" w:color="auto"/>
              <w:bottom w:val="single" w:sz="4" w:space="0" w:color="auto"/>
              <w:right w:val="single" w:sz="4" w:space="0" w:color="auto"/>
            </w:tcBorders>
            <w:shd w:val="clear" w:color="auto" w:fill="auto"/>
          </w:tcPr>
          <w:p w:rsidR="00DE5E3F" w:rsidRPr="0069517C" w:rsidRDefault="00DE5E3F" w:rsidP="004138AE">
            <w:pPr>
              <w:rPr>
                <w:b/>
              </w:rPr>
            </w:pPr>
            <w:r w:rsidRPr="0069517C">
              <w:rPr>
                <w:b/>
              </w:rPr>
              <w:t>Operating cost per kWh</w:t>
            </w:r>
            <w:r w:rsidR="002F3833" w:rsidRPr="0069517C">
              <w:rPr>
                <w:b/>
              </w:rPr>
              <w:t xml:space="preserve"> – EC$</w:t>
            </w:r>
          </w:p>
        </w:tc>
      </w:tr>
      <w:tr w:rsidR="00DE5E3F" w:rsidRPr="00CF7AFA" w:rsidTr="00F4012A">
        <w:trPr>
          <w:trHeight w:val="9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b/>
                <w:color w:val="000000"/>
              </w:rPr>
            </w:pPr>
            <w:r w:rsidRPr="00CF7AFA">
              <w:rPr>
                <w:rFonts w:ascii="Calibri" w:eastAsia="Times New Roman" w:hAnsi="Calibri" w:cs="Times New Roman"/>
                <w:b/>
                <w:color w:val="000000"/>
              </w:rPr>
              <w:t>Years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b/>
                <w:color w:val="000000"/>
              </w:rPr>
            </w:pPr>
            <w:r w:rsidRPr="00CF7AFA">
              <w:rPr>
                <w:rFonts w:ascii="Calibri" w:eastAsia="Times New Roman" w:hAnsi="Calibri" w:cs="Times New Roman"/>
                <w:b/>
                <w:color w:val="000000"/>
              </w:rPr>
              <w:t>DOMLEC</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b/>
                <w:color w:val="000000"/>
              </w:rPr>
            </w:pPr>
            <w:r w:rsidRPr="00CF7AFA">
              <w:rPr>
                <w:rFonts w:ascii="Calibri" w:eastAsia="Times New Roman" w:hAnsi="Calibri" w:cs="Times New Roman"/>
                <w:b/>
                <w:color w:val="000000"/>
              </w:rPr>
              <w:t>LUCELEC</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b/>
                <w:color w:val="000000"/>
              </w:rPr>
            </w:pPr>
            <w:r w:rsidRPr="00CF7AFA">
              <w:rPr>
                <w:rFonts w:ascii="Calibri" w:eastAsia="Times New Roman" w:hAnsi="Calibri" w:cs="Times New Roman"/>
                <w:b/>
                <w:color w:val="000000"/>
              </w:rPr>
              <w:t xml:space="preserve"> GRENLEC</w:t>
            </w:r>
          </w:p>
        </w:tc>
      </w:tr>
      <w:tr w:rsidR="00DE5E3F" w:rsidRPr="00CF7AFA" w:rsidTr="00F4012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 </w:t>
            </w:r>
          </w:p>
        </w:tc>
      </w:tr>
      <w:tr w:rsidR="00DE5E3F" w:rsidRPr="00CF7AFA" w:rsidTr="00F4012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2012</w:t>
            </w:r>
          </w:p>
        </w:tc>
        <w:tc>
          <w:tcPr>
            <w:tcW w:w="126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0.91</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0.77</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0.84</w:t>
            </w:r>
          </w:p>
        </w:tc>
      </w:tr>
      <w:tr w:rsidR="00DE5E3F" w:rsidRPr="00CF7AFA" w:rsidTr="00F4012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2013</w:t>
            </w:r>
          </w:p>
        </w:tc>
        <w:tc>
          <w:tcPr>
            <w:tcW w:w="126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0.87</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0.81</w:t>
            </w:r>
          </w:p>
        </w:tc>
      </w:tr>
      <w:tr w:rsidR="00DE5E3F" w:rsidRPr="00CF7AFA" w:rsidTr="00F4012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2014</w:t>
            </w:r>
          </w:p>
        </w:tc>
        <w:tc>
          <w:tcPr>
            <w:tcW w:w="126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Pr>
                <w:rFonts w:ascii="Calibri" w:eastAsia="Times New Roman" w:hAnsi="Calibri" w:cs="Times New Roman"/>
                <w:color w:val="000000"/>
              </w:rPr>
              <w:t>0.81</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0.74</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0.76</w:t>
            </w:r>
          </w:p>
        </w:tc>
      </w:tr>
      <w:tr w:rsidR="00DE5E3F" w:rsidRPr="00CF7AFA" w:rsidTr="00F4012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2015</w:t>
            </w:r>
          </w:p>
        </w:tc>
        <w:tc>
          <w:tcPr>
            <w:tcW w:w="126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0.72</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0.69</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0.56</w:t>
            </w:r>
          </w:p>
        </w:tc>
      </w:tr>
      <w:tr w:rsidR="00DE5E3F" w:rsidRPr="00CF7AFA" w:rsidTr="00F4012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2016</w:t>
            </w:r>
          </w:p>
        </w:tc>
        <w:tc>
          <w:tcPr>
            <w:tcW w:w="126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0.63</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 xml:space="preserve"> NA </w:t>
            </w:r>
          </w:p>
        </w:tc>
        <w:tc>
          <w:tcPr>
            <w:tcW w:w="1530" w:type="dxa"/>
            <w:tcBorders>
              <w:top w:val="nil"/>
              <w:left w:val="nil"/>
              <w:bottom w:val="single" w:sz="4" w:space="0" w:color="auto"/>
              <w:right w:val="single" w:sz="4" w:space="0" w:color="auto"/>
            </w:tcBorders>
            <w:shd w:val="clear" w:color="auto" w:fill="auto"/>
            <w:noWrap/>
            <w:vAlign w:val="bottom"/>
            <w:hideMark/>
          </w:tcPr>
          <w:p w:rsidR="00DE5E3F" w:rsidRPr="00CF7AFA" w:rsidRDefault="00DE5E3F" w:rsidP="004138AE">
            <w:pPr>
              <w:rPr>
                <w:rFonts w:ascii="Calibri" w:eastAsia="Times New Roman" w:hAnsi="Calibri" w:cs="Times New Roman"/>
                <w:color w:val="000000"/>
              </w:rPr>
            </w:pPr>
            <w:r w:rsidRPr="00CF7AFA">
              <w:rPr>
                <w:rFonts w:ascii="Calibri" w:eastAsia="Times New Roman" w:hAnsi="Calibri" w:cs="Times New Roman"/>
                <w:color w:val="000000"/>
              </w:rPr>
              <w:t xml:space="preserve"> NA </w:t>
            </w:r>
          </w:p>
        </w:tc>
      </w:tr>
    </w:tbl>
    <w:p w:rsidR="00F03CA4" w:rsidRDefault="00F03CA4" w:rsidP="004138AE">
      <w:pPr>
        <w:pStyle w:val="NoSpacing"/>
        <w:jc w:val="both"/>
        <w:rPr>
          <w:rFonts w:ascii="Times New Roman" w:hAnsi="Times New Roman" w:cs="Times New Roman"/>
          <w:sz w:val="24"/>
          <w:szCs w:val="24"/>
        </w:rPr>
      </w:pPr>
    </w:p>
    <w:p w:rsidR="00FC267E" w:rsidRDefault="00FC267E" w:rsidP="004138AE">
      <w:pPr>
        <w:pStyle w:val="NoSpacing"/>
        <w:jc w:val="both"/>
        <w:rPr>
          <w:rFonts w:ascii="Times New Roman" w:hAnsi="Times New Roman" w:cs="Times New Roman"/>
          <w:sz w:val="24"/>
          <w:szCs w:val="24"/>
        </w:rPr>
      </w:pPr>
    </w:p>
    <w:p w:rsidR="00695EF5" w:rsidRPr="00744FCC" w:rsidRDefault="00FC267E" w:rsidP="002050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can be seen, DOMLEC’s operating </w:t>
      </w:r>
      <w:r w:rsidR="00744FCC">
        <w:rPr>
          <w:rFonts w:ascii="Times New Roman" w:hAnsi="Times New Roman" w:cs="Times New Roman"/>
          <w:sz w:val="24"/>
          <w:szCs w:val="24"/>
        </w:rPr>
        <w:t xml:space="preserve">cost per kWh </w:t>
      </w:r>
      <w:r>
        <w:rPr>
          <w:rFonts w:ascii="Times New Roman" w:hAnsi="Times New Roman" w:cs="Times New Roman"/>
          <w:sz w:val="24"/>
          <w:szCs w:val="24"/>
        </w:rPr>
        <w:t xml:space="preserve">decreased consistently from year to </w:t>
      </w:r>
      <w:r w:rsidR="00744FCC">
        <w:rPr>
          <w:rFonts w:ascii="Times New Roman" w:hAnsi="Times New Roman" w:cs="Times New Roman"/>
          <w:sz w:val="24"/>
          <w:szCs w:val="24"/>
        </w:rPr>
        <w:t>y</w:t>
      </w:r>
      <w:r>
        <w:rPr>
          <w:rFonts w:ascii="Times New Roman" w:hAnsi="Times New Roman" w:cs="Times New Roman"/>
          <w:sz w:val="24"/>
          <w:szCs w:val="24"/>
        </w:rPr>
        <w:t>ear</w:t>
      </w:r>
      <w:r w:rsidR="00744FCC">
        <w:rPr>
          <w:rFonts w:ascii="Times New Roman" w:hAnsi="Times New Roman" w:cs="Times New Roman"/>
          <w:sz w:val="24"/>
          <w:szCs w:val="24"/>
        </w:rPr>
        <w:t>,</w:t>
      </w:r>
      <w:r>
        <w:rPr>
          <w:rFonts w:ascii="Times New Roman" w:hAnsi="Times New Roman" w:cs="Times New Roman"/>
          <w:sz w:val="24"/>
          <w:szCs w:val="24"/>
        </w:rPr>
        <w:t xml:space="preserve"> and fell considerably in 20</w:t>
      </w:r>
      <w:r w:rsidR="00744FCC">
        <w:rPr>
          <w:rFonts w:ascii="Times New Roman" w:hAnsi="Times New Roman" w:cs="Times New Roman"/>
          <w:sz w:val="24"/>
          <w:szCs w:val="24"/>
        </w:rPr>
        <w:t xml:space="preserve">16.  Overall, the indicator </w:t>
      </w:r>
      <w:r w:rsidR="003A6BDB">
        <w:rPr>
          <w:rFonts w:ascii="Times New Roman" w:hAnsi="Times New Roman" w:cs="Times New Roman"/>
          <w:sz w:val="24"/>
          <w:szCs w:val="24"/>
        </w:rPr>
        <w:t>declined by</w:t>
      </w:r>
      <w:r>
        <w:rPr>
          <w:rFonts w:ascii="Times New Roman" w:hAnsi="Times New Roman" w:cs="Times New Roman"/>
          <w:sz w:val="24"/>
          <w:szCs w:val="24"/>
        </w:rPr>
        <w:t xml:space="preserve"> 30.71% from 2012 to 2016</w:t>
      </w:r>
      <w:r w:rsidR="003A6BDB">
        <w:rPr>
          <w:rFonts w:ascii="Times New Roman" w:hAnsi="Times New Roman" w:cs="Times New Roman"/>
          <w:sz w:val="24"/>
          <w:szCs w:val="24"/>
        </w:rPr>
        <w:t>.</w:t>
      </w:r>
      <w:r>
        <w:rPr>
          <w:rFonts w:ascii="Times New Roman" w:hAnsi="Times New Roman" w:cs="Times New Roman"/>
          <w:sz w:val="24"/>
          <w:szCs w:val="24"/>
        </w:rPr>
        <w:t xml:space="preserve"> In fact</w:t>
      </w:r>
      <w:r w:rsidR="003D1381">
        <w:rPr>
          <w:rFonts w:ascii="Times New Roman" w:hAnsi="Times New Roman" w:cs="Times New Roman"/>
          <w:sz w:val="24"/>
          <w:szCs w:val="24"/>
        </w:rPr>
        <w:t>,</w:t>
      </w:r>
      <w:r w:rsidR="00744FCC">
        <w:rPr>
          <w:rFonts w:ascii="Times New Roman" w:hAnsi="Times New Roman" w:cs="Times New Roman"/>
          <w:sz w:val="24"/>
          <w:szCs w:val="24"/>
        </w:rPr>
        <w:t xml:space="preserve"> the reduction in this indicator was caused mainly by </w:t>
      </w:r>
      <w:r w:rsidR="003D1381">
        <w:rPr>
          <w:rFonts w:ascii="Times New Roman" w:hAnsi="Times New Roman" w:cs="Times New Roman"/>
          <w:sz w:val="24"/>
          <w:szCs w:val="24"/>
        </w:rPr>
        <w:t xml:space="preserve">the decrease in fuel cost. </w:t>
      </w:r>
      <w:r w:rsidR="00744FCC">
        <w:rPr>
          <w:rFonts w:ascii="Times New Roman" w:hAnsi="Times New Roman" w:cs="Times New Roman"/>
          <w:sz w:val="24"/>
          <w:szCs w:val="24"/>
        </w:rPr>
        <w:t xml:space="preserve"> DOMLEC’s operating </w:t>
      </w:r>
      <w:r w:rsidR="003A6BDB">
        <w:rPr>
          <w:rFonts w:ascii="Times New Roman" w:hAnsi="Times New Roman" w:cs="Times New Roman"/>
          <w:sz w:val="24"/>
          <w:szCs w:val="24"/>
        </w:rPr>
        <w:t>cost per</w:t>
      </w:r>
      <w:r w:rsidR="00744FCC">
        <w:rPr>
          <w:rFonts w:ascii="Times New Roman" w:hAnsi="Times New Roman" w:cs="Times New Roman"/>
          <w:sz w:val="24"/>
          <w:szCs w:val="24"/>
        </w:rPr>
        <w:t xml:space="preserve"> kWh was slightly higher when compared to the other two electric companies.</w:t>
      </w:r>
      <w:r w:rsidR="00695EF5">
        <w:rPr>
          <w:rFonts w:ascii="Times New Roman" w:hAnsi="Times New Roman" w:cs="Times New Roman"/>
          <w:sz w:val="24"/>
          <w:szCs w:val="24"/>
        </w:rPr>
        <w:t xml:space="preserve">  Actually</w:t>
      </w:r>
      <w:r w:rsidR="004723F7">
        <w:rPr>
          <w:rFonts w:ascii="Times New Roman" w:hAnsi="Times New Roman" w:cs="Times New Roman"/>
          <w:sz w:val="24"/>
          <w:szCs w:val="24"/>
        </w:rPr>
        <w:t xml:space="preserve">, GRENLEC </w:t>
      </w:r>
      <w:r w:rsidR="00744FCC">
        <w:rPr>
          <w:rFonts w:ascii="Times New Roman" w:hAnsi="Times New Roman" w:cs="Times New Roman"/>
          <w:sz w:val="24"/>
          <w:szCs w:val="24"/>
        </w:rPr>
        <w:t xml:space="preserve">recorded the lowest operating cost </w:t>
      </w:r>
      <w:r w:rsidR="00AA4D9C">
        <w:rPr>
          <w:rFonts w:ascii="Times New Roman" w:hAnsi="Times New Roman" w:cs="Times New Roman"/>
          <w:sz w:val="24"/>
          <w:szCs w:val="24"/>
        </w:rPr>
        <w:t xml:space="preserve">per </w:t>
      </w:r>
      <w:r w:rsidR="003A6BDB">
        <w:rPr>
          <w:rFonts w:ascii="Times New Roman" w:hAnsi="Times New Roman" w:cs="Times New Roman"/>
          <w:sz w:val="24"/>
          <w:szCs w:val="24"/>
        </w:rPr>
        <w:t>kWh and</w:t>
      </w:r>
      <w:r w:rsidR="00744FCC">
        <w:rPr>
          <w:rFonts w:ascii="Times New Roman" w:hAnsi="Times New Roman" w:cs="Times New Roman"/>
          <w:sz w:val="24"/>
          <w:szCs w:val="24"/>
        </w:rPr>
        <w:t xml:space="preserve"> this suggest</w:t>
      </w:r>
      <w:r w:rsidR="00AA4D9C">
        <w:rPr>
          <w:rFonts w:ascii="Times New Roman" w:hAnsi="Times New Roman" w:cs="Times New Roman"/>
          <w:sz w:val="24"/>
          <w:szCs w:val="24"/>
        </w:rPr>
        <w:t>s</w:t>
      </w:r>
      <w:r w:rsidR="00744FCC">
        <w:rPr>
          <w:rFonts w:ascii="Times New Roman" w:hAnsi="Times New Roman" w:cs="Times New Roman"/>
          <w:sz w:val="24"/>
          <w:szCs w:val="24"/>
        </w:rPr>
        <w:t xml:space="preserve"> that the company </w:t>
      </w:r>
      <w:r w:rsidR="003A6BDB">
        <w:rPr>
          <w:rFonts w:ascii="Times New Roman" w:hAnsi="Times New Roman" w:cs="Times New Roman"/>
          <w:sz w:val="24"/>
          <w:szCs w:val="24"/>
        </w:rPr>
        <w:t>operated more</w:t>
      </w:r>
      <w:r w:rsidR="00744FCC">
        <w:rPr>
          <w:rFonts w:ascii="Times New Roman" w:hAnsi="Times New Roman" w:cs="Times New Roman"/>
          <w:sz w:val="24"/>
          <w:szCs w:val="24"/>
        </w:rPr>
        <w:t xml:space="preserve"> efficiently in comparison to LUCELEC and DOMLEC.</w:t>
      </w:r>
    </w:p>
    <w:p w:rsidR="003A6BDB" w:rsidRDefault="003A6BDB" w:rsidP="002050DD">
      <w:pPr>
        <w:pStyle w:val="NoSpacing"/>
        <w:jc w:val="both"/>
        <w:outlineLvl w:val="2"/>
        <w:rPr>
          <w:rFonts w:ascii="Times New Roman" w:hAnsi="Times New Roman" w:cs="Times New Roman"/>
          <w:b/>
          <w:sz w:val="24"/>
          <w:szCs w:val="24"/>
        </w:rPr>
      </w:pPr>
      <w:bookmarkStart w:id="25" w:name="_Toc485128754"/>
    </w:p>
    <w:p w:rsidR="00C44325" w:rsidRDefault="00EB05C9" w:rsidP="003A6BDB">
      <w:pPr>
        <w:pStyle w:val="NoSpacing"/>
        <w:jc w:val="both"/>
        <w:outlineLvl w:val="2"/>
        <w:rPr>
          <w:rFonts w:ascii="Times New Roman" w:hAnsi="Times New Roman" w:cs="Times New Roman"/>
          <w:b/>
          <w:sz w:val="24"/>
          <w:szCs w:val="24"/>
        </w:rPr>
      </w:pPr>
      <w:r>
        <w:rPr>
          <w:rFonts w:ascii="Times New Roman" w:hAnsi="Times New Roman" w:cs="Times New Roman"/>
          <w:b/>
          <w:sz w:val="24"/>
          <w:szCs w:val="24"/>
        </w:rPr>
        <w:t xml:space="preserve">c. </w:t>
      </w:r>
      <w:r w:rsidR="00A7490C" w:rsidRPr="00EB05C9">
        <w:rPr>
          <w:rFonts w:ascii="Times New Roman" w:hAnsi="Times New Roman" w:cs="Times New Roman"/>
          <w:b/>
          <w:sz w:val="24"/>
          <w:szCs w:val="24"/>
        </w:rPr>
        <w:t>Customer Base</w:t>
      </w:r>
      <w:bookmarkEnd w:id="25"/>
    </w:p>
    <w:p w:rsidR="00366675" w:rsidRDefault="00366675" w:rsidP="004138AE">
      <w:pPr>
        <w:pStyle w:val="NoSpacing"/>
        <w:jc w:val="both"/>
        <w:outlineLvl w:val="2"/>
        <w:rPr>
          <w:rFonts w:ascii="Times New Roman" w:hAnsi="Times New Roman" w:cs="Times New Roman"/>
          <w:b/>
          <w:sz w:val="24"/>
          <w:szCs w:val="24"/>
        </w:rPr>
      </w:pPr>
    </w:p>
    <w:p w:rsidR="00366675" w:rsidRPr="00AA4D9C" w:rsidRDefault="004138AE" w:rsidP="004138AE">
      <w:pPr>
        <w:rPr>
          <w:rFonts w:ascii="Calibri" w:eastAsia="Times New Roman" w:hAnsi="Calibri" w:cs="Times New Roman"/>
          <w:b/>
          <w:color w:val="262626" w:themeColor="text1" w:themeTint="D9"/>
        </w:rPr>
      </w:pPr>
      <w:r>
        <w:rPr>
          <w:rFonts w:ascii="Calibri" w:eastAsia="Times New Roman" w:hAnsi="Calibri" w:cs="Times New Roman"/>
          <w:b/>
          <w:color w:val="000000"/>
        </w:rPr>
        <w:t xml:space="preserve">                  </w:t>
      </w:r>
      <w:r w:rsidR="00797D89" w:rsidRPr="00AA4D9C">
        <w:rPr>
          <w:rFonts w:ascii="Calibri" w:eastAsia="Times New Roman" w:hAnsi="Calibri" w:cs="Times New Roman"/>
          <w:b/>
          <w:color w:val="262626" w:themeColor="text1" w:themeTint="D9"/>
        </w:rPr>
        <w:t xml:space="preserve">Table 14 </w:t>
      </w:r>
      <w:r w:rsidR="00695EF5" w:rsidRPr="00AA4D9C">
        <w:rPr>
          <w:rFonts w:ascii="Calibri" w:eastAsia="Times New Roman" w:hAnsi="Calibri" w:cs="Times New Roman"/>
          <w:b/>
          <w:color w:val="262626" w:themeColor="text1" w:themeTint="D9"/>
        </w:rPr>
        <w:t>Number of Customers 2012 - 2016</w:t>
      </w:r>
    </w:p>
    <w:p w:rsidR="00366675" w:rsidRDefault="00366675" w:rsidP="004138AE">
      <w:pPr>
        <w:rPr>
          <w:rFonts w:ascii="Calibri" w:eastAsia="Times New Roman" w:hAnsi="Calibri" w:cs="Times New Roman"/>
          <w:color w:val="000000"/>
        </w:rPr>
      </w:pPr>
    </w:p>
    <w:tbl>
      <w:tblPr>
        <w:tblW w:w="5873" w:type="dxa"/>
        <w:tblInd w:w="828" w:type="dxa"/>
        <w:tblLook w:val="04A0"/>
      </w:tblPr>
      <w:tblGrid>
        <w:gridCol w:w="1350"/>
        <w:gridCol w:w="1350"/>
        <w:gridCol w:w="1710"/>
        <w:gridCol w:w="1463"/>
      </w:tblGrid>
      <w:tr w:rsidR="00DE5E3F" w:rsidRPr="003C3720" w:rsidTr="00F4012A">
        <w:trPr>
          <w:trHeight w:val="413"/>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 </w:t>
            </w:r>
          </w:p>
        </w:tc>
        <w:tc>
          <w:tcPr>
            <w:tcW w:w="4523" w:type="dxa"/>
            <w:gridSpan w:val="3"/>
            <w:tcBorders>
              <w:top w:val="single" w:sz="4" w:space="0" w:color="auto"/>
              <w:bottom w:val="single" w:sz="4" w:space="0" w:color="auto"/>
              <w:right w:val="single" w:sz="4" w:space="0" w:color="auto"/>
            </w:tcBorders>
            <w:shd w:val="clear" w:color="auto" w:fill="auto"/>
          </w:tcPr>
          <w:p w:rsidR="00DE5E3F" w:rsidRPr="00DE5E3F" w:rsidRDefault="00DE5E3F" w:rsidP="004138AE">
            <w:pPr>
              <w:rPr>
                <w:b/>
              </w:rPr>
            </w:pPr>
            <w:r w:rsidRPr="00DE5E3F">
              <w:rPr>
                <w:b/>
              </w:rPr>
              <w:t>Number of Customers</w:t>
            </w:r>
          </w:p>
        </w:tc>
      </w:tr>
      <w:tr w:rsidR="00DE5E3F" w:rsidRPr="003C3720" w:rsidTr="00F4012A">
        <w:trPr>
          <w:trHeight w:val="9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b/>
                <w:color w:val="000000"/>
              </w:rPr>
            </w:pPr>
            <w:r w:rsidRPr="003C3720">
              <w:rPr>
                <w:rFonts w:ascii="Calibri" w:eastAsia="Times New Roman" w:hAnsi="Calibri" w:cs="Times New Roman"/>
                <w:b/>
                <w:color w:val="000000"/>
              </w:rPr>
              <w:t>Years</w:t>
            </w:r>
          </w:p>
        </w:tc>
        <w:tc>
          <w:tcPr>
            <w:tcW w:w="135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b/>
                <w:color w:val="000000"/>
              </w:rPr>
            </w:pPr>
            <w:r w:rsidRPr="003C3720">
              <w:rPr>
                <w:rFonts w:ascii="Calibri" w:eastAsia="Times New Roman" w:hAnsi="Calibri" w:cs="Times New Roman"/>
                <w:b/>
                <w:color w:val="000000"/>
              </w:rPr>
              <w:t>DOMLEC</w:t>
            </w:r>
          </w:p>
        </w:tc>
        <w:tc>
          <w:tcPr>
            <w:tcW w:w="171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b/>
                <w:color w:val="000000"/>
              </w:rPr>
            </w:pPr>
            <w:r w:rsidRPr="003C3720">
              <w:rPr>
                <w:rFonts w:ascii="Calibri" w:eastAsia="Times New Roman" w:hAnsi="Calibri" w:cs="Times New Roman"/>
                <w:b/>
                <w:color w:val="000000"/>
              </w:rPr>
              <w:t>LUCELEC</w:t>
            </w:r>
          </w:p>
        </w:tc>
        <w:tc>
          <w:tcPr>
            <w:tcW w:w="1463"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b/>
                <w:color w:val="000000"/>
              </w:rPr>
            </w:pPr>
            <w:r w:rsidRPr="003C3720">
              <w:rPr>
                <w:rFonts w:ascii="Calibri" w:eastAsia="Times New Roman" w:hAnsi="Calibri" w:cs="Times New Roman"/>
                <w:b/>
                <w:color w:val="000000"/>
              </w:rPr>
              <w:t xml:space="preserve"> GRENLEC</w:t>
            </w:r>
          </w:p>
        </w:tc>
      </w:tr>
      <w:tr w:rsidR="00DE5E3F" w:rsidRPr="003C3720" w:rsidTr="00F4012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 </w:t>
            </w:r>
          </w:p>
        </w:tc>
        <w:tc>
          <w:tcPr>
            <w:tcW w:w="1463"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 </w:t>
            </w:r>
          </w:p>
        </w:tc>
      </w:tr>
      <w:tr w:rsidR="00DE5E3F" w:rsidRPr="003C3720" w:rsidTr="00F4012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2012</w:t>
            </w:r>
          </w:p>
        </w:tc>
        <w:tc>
          <w:tcPr>
            <w:tcW w:w="135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34870</w:t>
            </w:r>
          </w:p>
        </w:tc>
        <w:tc>
          <w:tcPr>
            <w:tcW w:w="171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61849</w:t>
            </w:r>
          </w:p>
        </w:tc>
        <w:tc>
          <w:tcPr>
            <w:tcW w:w="1463"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45042</w:t>
            </w:r>
          </w:p>
        </w:tc>
      </w:tr>
      <w:tr w:rsidR="00DE5E3F" w:rsidRPr="003C3720" w:rsidTr="00F4012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2013</w:t>
            </w:r>
          </w:p>
        </w:tc>
        <w:tc>
          <w:tcPr>
            <w:tcW w:w="135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35518</w:t>
            </w:r>
          </w:p>
        </w:tc>
        <w:tc>
          <w:tcPr>
            <w:tcW w:w="171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65862</w:t>
            </w:r>
          </w:p>
        </w:tc>
        <w:tc>
          <w:tcPr>
            <w:tcW w:w="1463"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45765</w:t>
            </w:r>
          </w:p>
        </w:tc>
      </w:tr>
      <w:tr w:rsidR="00DE5E3F" w:rsidRPr="003C3720" w:rsidTr="00F4012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2014</w:t>
            </w:r>
          </w:p>
        </w:tc>
        <w:tc>
          <w:tcPr>
            <w:tcW w:w="135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355354</w:t>
            </w:r>
          </w:p>
        </w:tc>
        <w:tc>
          <w:tcPr>
            <w:tcW w:w="171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67100</w:t>
            </w:r>
          </w:p>
        </w:tc>
        <w:tc>
          <w:tcPr>
            <w:tcW w:w="1463"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46478</w:t>
            </w:r>
          </w:p>
        </w:tc>
      </w:tr>
      <w:tr w:rsidR="00DE5E3F" w:rsidRPr="003C3720" w:rsidTr="00F4012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2015</w:t>
            </w:r>
          </w:p>
        </w:tc>
        <w:tc>
          <w:tcPr>
            <w:tcW w:w="135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35792</w:t>
            </w:r>
          </w:p>
        </w:tc>
        <w:tc>
          <w:tcPr>
            <w:tcW w:w="171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67011</w:t>
            </w:r>
          </w:p>
        </w:tc>
        <w:tc>
          <w:tcPr>
            <w:tcW w:w="1463"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47597</w:t>
            </w:r>
          </w:p>
        </w:tc>
      </w:tr>
      <w:tr w:rsidR="00DE5E3F" w:rsidRPr="003C3720" w:rsidTr="00F4012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2016</w:t>
            </w:r>
          </w:p>
        </w:tc>
        <w:tc>
          <w:tcPr>
            <w:tcW w:w="135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36467</w:t>
            </w:r>
          </w:p>
        </w:tc>
        <w:tc>
          <w:tcPr>
            <w:tcW w:w="1710"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NA</w:t>
            </w:r>
          </w:p>
        </w:tc>
        <w:tc>
          <w:tcPr>
            <w:tcW w:w="1463" w:type="dxa"/>
            <w:tcBorders>
              <w:top w:val="nil"/>
              <w:left w:val="nil"/>
              <w:bottom w:val="single" w:sz="4" w:space="0" w:color="auto"/>
              <w:right w:val="single" w:sz="4" w:space="0" w:color="auto"/>
            </w:tcBorders>
            <w:shd w:val="clear" w:color="auto" w:fill="auto"/>
            <w:noWrap/>
            <w:vAlign w:val="bottom"/>
            <w:hideMark/>
          </w:tcPr>
          <w:p w:rsidR="00DE5E3F" w:rsidRPr="003C3720" w:rsidRDefault="00DE5E3F" w:rsidP="004138AE">
            <w:pPr>
              <w:rPr>
                <w:rFonts w:ascii="Calibri" w:eastAsia="Times New Roman" w:hAnsi="Calibri" w:cs="Times New Roman"/>
                <w:color w:val="000000"/>
              </w:rPr>
            </w:pPr>
            <w:r w:rsidRPr="003C3720">
              <w:rPr>
                <w:rFonts w:ascii="Calibri" w:eastAsia="Times New Roman" w:hAnsi="Calibri" w:cs="Times New Roman"/>
                <w:color w:val="000000"/>
              </w:rPr>
              <w:t>NA</w:t>
            </w:r>
          </w:p>
        </w:tc>
      </w:tr>
    </w:tbl>
    <w:p w:rsidR="00A74A1B" w:rsidRDefault="00A74A1B" w:rsidP="004138AE">
      <w:pPr>
        <w:pStyle w:val="NoSpacing"/>
        <w:jc w:val="both"/>
        <w:rPr>
          <w:rFonts w:ascii="Times New Roman" w:hAnsi="Times New Roman" w:cs="Times New Roman"/>
          <w:sz w:val="24"/>
          <w:szCs w:val="24"/>
        </w:rPr>
      </w:pPr>
    </w:p>
    <w:p w:rsidR="00C80865" w:rsidRDefault="00C80865" w:rsidP="004138AE">
      <w:pPr>
        <w:pStyle w:val="NoSpacing"/>
        <w:jc w:val="both"/>
        <w:rPr>
          <w:rFonts w:ascii="Times New Roman" w:hAnsi="Times New Roman" w:cs="Times New Roman"/>
          <w:sz w:val="24"/>
          <w:szCs w:val="24"/>
        </w:rPr>
      </w:pPr>
    </w:p>
    <w:p w:rsidR="00C80865" w:rsidRDefault="00C80865" w:rsidP="004138AE">
      <w:pPr>
        <w:pStyle w:val="NoSpacing"/>
        <w:jc w:val="both"/>
        <w:rPr>
          <w:rFonts w:ascii="Times New Roman" w:hAnsi="Times New Roman" w:cs="Times New Roman"/>
          <w:sz w:val="24"/>
          <w:szCs w:val="24"/>
        </w:rPr>
      </w:pPr>
    </w:p>
    <w:p w:rsidR="00C80865" w:rsidRDefault="00C80865" w:rsidP="004138AE">
      <w:pPr>
        <w:pStyle w:val="NoSpacing"/>
        <w:jc w:val="both"/>
        <w:rPr>
          <w:rFonts w:ascii="Times New Roman" w:hAnsi="Times New Roman" w:cs="Times New Roman"/>
          <w:sz w:val="24"/>
          <w:szCs w:val="24"/>
        </w:rPr>
      </w:pPr>
    </w:p>
    <w:p w:rsidR="004E7D0D" w:rsidRDefault="00366675"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Table 14 shows that </w:t>
      </w:r>
      <w:r w:rsidR="004E7D0D" w:rsidRPr="00D74602">
        <w:rPr>
          <w:rFonts w:ascii="Times New Roman" w:hAnsi="Times New Roman" w:cs="Times New Roman"/>
          <w:sz w:val="24"/>
          <w:szCs w:val="24"/>
        </w:rPr>
        <w:t xml:space="preserve">DOMLEC’s customer base </w:t>
      </w:r>
      <w:r w:rsidR="003A6BDB">
        <w:rPr>
          <w:rFonts w:ascii="Times New Roman" w:hAnsi="Times New Roman" w:cs="Times New Roman"/>
          <w:sz w:val="24"/>
          <w:szCs w:val="24"/>
        </w:rPr>
        <w:t>increased steadily from 2012 to 2016.  The company recorded the largest number</w:t>
      </w:r>
      <w:r w:rsidR="0077423C">
        <w:rPr>
          <w:rFonts w:ascii="Times New Roman" w:hAnsi="Times New Roman" w:cs="Times New Roman"/>
          <w:sz w:val="24"/>
          <w:szCs w:val="24"/>
        </w:rPr>
        <w:t xml:space="preserve"> </w:t>
      </w:r>
      <w:r w:rsidR="003A6BDB">
        <w:rPr>
          <w:rFonts w:ascii="Times New Roman" w:hAnsi="Times New Roman" w:cs="Times New Roman"/>
          <w:sz w:val="24"/>
          <w:szCs w:val="24"/>
        </w:rPr>
        <w:t xml:space="preserve">of customers in </w:t>
      </w:r>
      <w:r w:rsidR="00DE5E3F">
        <w:rPr>
          <w:rFonts w:ascii="Times New Roman" w:hAnsi="Times New Roman" w:cs="Times New Roman"/>
          <w:sz w:val="24"/>
          <w:szCs w:val="24"/>
        </w:rPr>
        <w:t>2016.  The customer base</w:t>
      </w:r>
      <w:r w:rsidR="003A6BDB">
        <w:rPr>
          <w:rFonts w:ascii="Times New Roman" w:hAnsi="Times New Roman" w:cs="Times New Roman"/>
          <w:sz w:val="24"/>
          <w:szCs w:val="24"/>
        </w:rPr>
        <w:t xml:space="preserve"> grew by 4.57% over the period of five (5) years.  </w:t>
      </w:r>
      <w:r w:rsidR="0077423C">
        <w:rPr>
          <w:rFonts w:ascii="Times New Roman" w:hAnsi="Times New Roman" w:cs="Times New Roman"/>
          <w:sz w:val="24"/>
          <w:szCs w:val="24"/>
        </w:rPr>
        <w:t>DOMLEC</w:t>
      </w:r>
      <w:r w:rsidR="00D13894">
        <w:rPr>
          <w:rFonts w:ascii="Times New Roman" w:hAnsi="Times New Roman" w:cs="Times New Roman"/>
          <w:sz w:val="24"/>
          <w:szCs w:val="24"/>
        </w:rPr>
        <w:t>’s customer</w:t>
      </w:r>
      <w:r w:rsidR="003A6BDB">
        <w:rPr>
          <w:rFonts w:ascii="Times New Roman" w:hAnsi="Times New Roman" w:cs="Times New Roman"/>
          <w:sz w:val="24"/>
          <w:szCs w:val="24"/>
        </w:rPr>
        <w:t xml:space="preserve"> base continues to be low</w:t>
      </w:r>
      <w:r w:rsidR="0077423C">
        <w:rPr>
          <w:rFonts w:ascii="Times New Roman" w:hAnsi="Times New Roman" w:cs="Times New Roman"/>
          <w:sz w:val="24"/>
          <w:szCs w:val="24"/>
        </w:rPr>
        <w:t xml:space="preserve"> in relation to LUCELEC and GRENLEC. This is mainly because Dominica’s population </w:t>
      </w:r>
      <w:r w:rsidR="0077423C" w:rsidRPr="00AA4D9C">
        <w:rPr>
          <w:rFonts w:ascii="Times New Roman" w:hAnsi="Times New Roman" w:cs="Times New Roman"/>
          <w:sz w:val="24"/>
          <w:szCs w:val="24"/>
        </w:rPr>
        <w:t xml:space="preserve">is </w:t>
      </w:r>
      <w:r w:rsidR="00AA4D9C" w:rsidRPr="00AA4D9C">
        <w:rPr>
          <w:rFonts w:ascii="Times New Roman" w:hAnsi="Times New Roman" w:cs="Times New Roman"/>
          <w:sz w:val="24"/>
          <w:szCs w:val="24"/>
        </w:rPr>
        <w:t>smaller in comparison to</w:t>
      </w:r>
      <w:r w:rsidR="0077423C" w:rsidRPr="00AA4D9C">
        <w:rPr>
          <w:rFonts w:ascii="Times New Roman" w:hAnsi="Times New Roman" w:cs="Times New Roman"/>
          <w:sz w:val="24"/>
          <w:szCs w:val="24"/>
        </w:rPr>
        <w:t xml:space="preserve"> that </w:t>
      </w:r>
      <w:r w:rsidR="00346A80" w:rsidRPr="00AA4D9C">
        <w:rPr>
          <w:rFonts w:ascii="Times New Roman" w:hAnsi="Times New Roman" w:cs="Times New Roman"/>
          <w:sz w:val="24"/>
          <w:szCs w:val="24"/>
        </w:rPr>
        <w:t>of</w:t>
      </w:r>
      <w:r w:rsidR="00346A80">
        <w:rPr>
          <w:rFonts w:ascii="Times New Roman" w:hAnsi="Times New Roman" w:cs="Times New Roman"/>
          <w:sz w:val="24"/>
          <w:szCs w:val="24"/>
        </w:rPr>
        <w:t xml:space="preserve"> St</w:t>
      </w:r>
      <w:r w:rsidR="0077423C">
        <w:rPr>
          <w:rFonts w:ascii="Times New Roman" w:hAnsi="Times New Roman" w:cs="Times New Roman"/>
          <w:sz w:val="24"/>
          <w:szCs w:val="24"/>
        </w:rPr>
        <w:t xml:space="preserve"> Lucia and Grenada.</w:t>
      </w:r>
      <w:r w:rsidR="00D13894">
        <w:rPr>
          <w:rFonts w:ascii="Times New Roman" w:hAnsi="Times New Roman" w:cs="Times New Roman"/>
          <w:sz w:val="24"/>
          <w:szCs w:val="24"/>
        </w:rPr>
        <w:t xml:space="preserve"> </w:t>
      </w:r>
      <w:r w:rsidR="00346A80">
        <w:rPr>
          <w:rFonts w:ascii="Times New Roman" w:hAnsi="Times New Roman" w:cs="Times New Roman"/>
          <w:sz w:val="24"/>
          <w:szCs w:val="24"/>
        </w:rPr>
        <w:t xml:space="preserve"> It was also noted that </w:t>
      </w:r>
      <w:r w:rsidR="00D46BC6">
        <w:rPr>
          <w:rFonts w:ascii="Times New Roman" w:hAnsi="Times New Roman" w:cs="Times New Roman"/>
          <w:sz w:val="24"/>
          <w:szCs w:val="24"/>
        </w:rPr>
        <w:t xml:space="preserve">LUCELEC and GRENLEC’s </w:t>
      </w:r>
      <w:r w:rsidR="00D46BC6">
        <w:rPr>
          <w:rFonts w:ascii="Times New Roman" w:hAnsi="Times New Roman" w:cs="Times New Roman"/>
          <w:sz w:val="24"/>
          <w:szCs w:val="24"/>
        </w:rPr>
        <w:lastRenderedPageBreak/>
        <w:t xml:space="preserve">customer base increased </w:t>
      </w:r>
      <w:r w:rsidR="00346A80">
        <w:rPr>
          <w:rFonts w:ascii="Times New Roman" w:hAnsi="Times New Roman" w:cs="Times New Roman"/>
          <w:sz w:val="24"/>
          <w:szCs w:val="24"/>
        </w:rPr>
        <w:t xml:space="preserve">at a </w:t>
      </w:r>
      <w:r w:rsidR="00AA4D9C">
        <w:rPr>
          <w:rFonts w:ascii="Times New Roman" w:hAnsi="Times New Roman" w:cs="Times New Roman"/>
          <w:sz w:val="24"/>
          <w:szCs w:val="24"/>
        </w:rPr>
        <w:t>faster rate,</w:t>
      </w:r>
      <w:r w:rsidR="00771F04">
        <w:rPr>
          <w:rFonts w:ascii="Times New Roman" w:hAnsi="Times New Roman" w:cs="Times New Roman"/>
          <w:sz w:val="24"/>
          <w:szCs w:val="24"/>
        </w:rPr>
        <w:t xml:space="preserve"> 8.34% and 5.6</w:t>
      </w:r>
      <w:r w:rsidR="00D46BC6">
        <w:rPr>
          <w:rFonts w:ascii="Times New Roman" w:hAnsi="Times New Roman" w:cs="Times New Roman"/>
          <w:sz w:val="24"/>
          <w:szCs w:val="24"/>
        </w:rPr>
        <w:t>7% respectively</w:t>
      </w:r>
      <w:r w:rsidR="00AA4D9C">
        <w:rPr>
          <w:rFonts w:ascii="Times New Roman" w:hAnsi="Times New Roman" w:cs="Times New Roman"/>
          <w:sz w:val="24"/>
          <w:szCs w:val="24"/>
        </w:rPr>
        <w:t>,</w:t>
      </w:r>
      <w:r w:rsidR="00D46BC6">
        <w:rPr>
          <w:rFonts w:ascii="Times New Roman" w:hAnsi="Times New Roman" w:cs="Times New Roman"/>
          <w:sz w:val="24"/>
          <w:szCs w:val="24"/>
        </w:rPr>
        <w:t xml:space="preserve"> when compared to DOMLEC.</w:t>
      </w:r>
    </w:p>
    <w:p w:rsidR="00D13894" w:rsidRDefault="00D13894" w:rsidP="004138AE">
      <w:pPr>
        <w:pStyle w:val="NoSpacing"/>
        <w:jc w:val="both"/>
        <w:rPr>
          <w:rFonts w:ascii="Times New Roman" w:hAnsi="Times New Roman" w:cs="Times New Roman"/>
          <w:sz w:val="24"/>
          <w:szCs w:val="24"/>
        </w:rPr>
      </w:pPr>
    </w:p>
    <w:p w:rsidR="00E870F5" w:rsidRDefault="00E870F5" w:rsidP="004138AE">
      <w:pPr>
        <w:pStyle w:val="NoSpacing"/>
        <w:jc w:val="both"/>
        <w:outlineLvl w:val="2"/>
        <w:rPr>
          <w:rFonts w:ascii="Times New Roman" w:hAnsi="Times New Roman" w:cs="Times New Roman"/>
          <w:b/>
          <w:sz w:val="24"/>
          <w:szCs w:val="24"/>
        </w:rPr>
      </w:pPr>
    </w:p>
    <w:p w:rsidR="004E7D0D" w:rsidRDefault="00297FC0" w:rsidP="004138AE">
      <w:pPr>
        <w:pStyle w:val="NoSpacing"/>
        <w:jc w:val="both"/>
        <w:outlineLvl w:val="2"/>
        <w:rPr>
          <w:rFonts w:ascii="Times New Roman" w:hAnsi="Times New Roman" w:cs="Times New Roman"/>
          <w:b/>
          <w:sz w:val="24"/>
          <w:szCs w:val="24"/>
        </w:rPr>
      </w:pPr>
      <w:bookmarkStart w:id="26" w:name="_Toc485128756"/>
      <w:r w:rsidRPr="00297FC0">
        <w:rPr>
          <w:rFonts w:ascii="Times New Roman" w:hAnsi="Times New Roman" w:cs="Times New Roman"/>
          <w:b/>
          <w:sz w:val="24"/>
          <w:szCs w:val="24"/>
        </w:rPr>
        <w:t>d.</w:t>
      </w:r>
      <w:r w:rsidR="00364A35" w:rsidRPr="00297FC0">
        <w:rPr>
          <w:rFonts w:ascii="Times New Roman" w:hAnsi="Times New Roman" w:cs="Times New Roman"/>
          <w:b/>
          <w:sz w:val="24"/>
          <w:szCs w:val="24"/>
        </w:rPr>
        <w:t xml:space="preserve"> </w:t>
      </w:r>
      <w:r w:rsidR="004E7D0D" w:rsidRPr="00297FC0">
        <w:rPr>
          <w:rFonts w:ascii="Times New Roman" w:hAnsi="Times New Roman" w:cs="Times New Roman"/>
          <w:b/>
          <w:sz w:val="24"/>
          <w:szCs w:val="24"/>
        </w:rPr>
        <w:t>Energy Purchased</w:t>
      </w:r>
      <w:bookmarkEnd w:id="26"/>
    </w:p>
    <w:p w:rsidR="00FC1D2D" w:rsidRDefault="00FC1D2D" w:rsidP="004138AE">
      <w:pPr>
        <w:pStyle w:val="NoSpacing"/>
        <w:jc w:val="both"/>
        <w:outlineLvl w:val="2"/>
        <w:rPr>
          <w:rFonts w:ascii="Times New Roman" w:hAnsi="Times New Roman" w:cs="Times New Roman"/>
          <w:b/>
          <w:sz w:val="24"/>
          <w:szCs w:val="24"/>
        </w:rPr>
      </w:pPr>
    </w:p>
    <w:p w:rsidR="00FC1D2D" w:rsidRDefault="004138AE" w:rsidP="004138AE">
      <w:pPr>
        <w:pStyle w:val="NoSpacing"/>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FC1D2D">
        <w:rPr>
          <w:rFonts w:ascii="Times New Roman" w:hAnsi="Times New Roman" w:cs="Times New Roman"/>
          <w:b/>
          <w:sz w:val="24"/>
          <w:szCs w:val="24"/>
        </w:rPr>
        <w:t>Table 1</w:t>
      </w:r>
      <w:r w:rsidR="00797D89">
        <w:rPr>
          <w:rFonts w:ascii="Times New Roman" w:hAnsi="Times New Roman" w:cs="Times New Roman"/>
          <w:b/>
          <w:sz w:val="24"/>
          <w:szCs w:val="24"/>
        </w:rPr>
        <w:t>5</w:t>
      </w:r>
      <w:r w:rsidR="00FC1D2D">
        <w:rPr>
          <w:rFonts w:ascii="Times New Roman" w:hAnsi="Times New Roman" w:cs="Times New Roman"/>
          <w:b/>
          <w:sz w:val="24"/>
          <w:szCs w:val="24"/>
        </w:rPr>
        <w:t xml:space="preserve"> Energy Purchased 2012- 2016</w:t>
      </w:r>
    </w:p>
    <w:p w:rsidR="00FC1D2D" w:rsidRDefault="00FC1D2D" w:rsidP="004138AE">
      <w:pPr>
        <w:pStyle w:val="NoSpacing"/>
        <w:jc w:val="both"/>
        <w:outlineLvl w:val="2"/>
        <w:rPr>
          <w:rFonts w:ascii="Times New Roman" w:hAnsi="Times New Roman" w:cs="Times New Roman"/>
          <w:b/>
          <w:sz w:val="24"/>
          <w:szCs w:val="24"/>
        </w:rPr>
      </w:pPr>
    </w:p>
    <w:tbl>
      <w:tblPr>
        <w:tblW w:w="6120" w:type="dxa"/>
        <w:tblInd w:w="738" w:type="dxa"/>
        <w:tblLook w:val="04A0"/>
      </w:tblPr>
      <w:tblGrid>
        <w:gridCol w:w="1800"/>
        <w:gridCol w:w="1260"/>
        <w:gridCol w:w="1620"/>
        <w:gridCol w:w="1440"/>
      </w:tblGrid>
      <w:tr w:rsidR="00FC1D2D" w:rsidRPr="00FC1D2D" w:rsidTr="00F4012A">
        <w:trPr>
          <w:trHeight w:val="6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w:t>
            </w:r>
          </w:p>
        </w:tc>
        <w:tc>
          <w:tcPr>
            <w:tcW w:w="43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C1D2D" w:rsidRPr="00FC1D2D" w:rsidRDefault="00FC1D2D" w:rsidP="00AA4D9C">
            <w:pPr>
              <w:rPr>
                <w:rFonts w:ascii="Calibri" w:eastAsia="Times New Roman" w:hAnsi="Calibri" w:cs="Times New Roman"/>
                <w:b/>
                <w:bCs/>
                <w:color w:val="000000"/>
              </w:rPr>
            </w:pPr>
            <w:r w:rsidRPr="00FC1D2D">
              <w:rPr>
                <w:rFonts w:ascii="Calibri" w:eastAsia="Times New Roman" w:hAnsi="Calibri" w:cs="Times New Roman"/>
                <w:b/>
                <w:bCs/>
                <w:color w:val="000000"/>
              </w:rPr>
              <w:t>Energy Purchased (kWh 000</w:t>
            </w:r>
            <w:r w:rsidR="00AA4D9C">
              <w:rPr>
                <w:rFonts w:ascii="Calibri" w:eastAsia="Times New Roman" w:hAnsi="Calibri" w:cs="Times New Roman"/>
                <w:b/>
                <w:bCs/>
                <w:color w:val="000000"/>
              </w:rPr>
              <w:t>s</w:t>
            </w:r>
            <w:r w:rsidRPr="00FC1D2D">
              <w:rPr>
                <w:rFonts w:ascii="Calibri" w:eastAsia="Times New Roman" w:hAnsi="Calibri" w:cs="Times New Roman"/>
                <w:b/>
                <w:bCs/>
                <w:color w:val="000000"/>
              </w:rPr>
              <w:t>)</w:t>
            </w:r>
          </w:p>
        </w:tc>
      </w:tr>
      <w:tr w:rsidR="00FC1D2D" w:rsidRPr="00FC1D2D" w:rsidTr="00F401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C1D2D" w:rsidRPr="00D46BC6" w:rsidRDefault="00FC1D2D" w:rsidP="004138AE">
            <w:pPr>
              <w:rPr>
                <w:rFonts w:ascii="Calibri" w:eastAsia="Times New Roman" w:hAnsi="Calibri" w:cs="Times New Roman"/>
                <w:b/>
                <w:color w:val="000000"/>
              </w:rPr>
            </w:pPr>
            <w:r w:rsidRPr="00FC1D2D">
              <w:rPr>
                <w:rFonts w:ascii="Calibri" w:eastAsia="Times New Roman" w:hAnsi="Calibri" w:cs="Times New Roman"/>
                <w:color w:val="000000"/>
              </w:rPr>
              <w:t> </w:t>
            </w:r>
            <w:r w:rsidR="00D46BC6" w:rsidRPr="00D46BC6">
              <w:rPr>
                <w:rFonts w:ascii="Calibri" w:eastAsia="Times New Roman" w:hAnsi="Calibri" w:cs="Times New Roman"/>
                <w:b/>
                <w:color w:val="000000"/>
              </w:rPr>
              <w:t>Y</w:t>
            </w:r>
            <w:r w:rsidRPr="00D46BC6">
              <w:rPr>
                <w:rFonts w:ascii="Calibri" w:eastAsia="Times New Roman" w:hAnsi="Calibri" w:cs="Times New Roman"/>
                <w:b/>
                <w:color w:val="000000"/>
              </w:rPr>
              <w:t>ears</w:t>
            </w:r>
          </w:p>
        </w:tc>
        <w:tc>
          <w:tcPr>
            <w:tcW w:w="126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b/>
                <w:bCs/>
                <w:color w:val="000000"/>
              </w:rPr>
            </w:pPr>
            <w:r w:rsidRPr="00FC1D2D">
              <w:rPr>
                <w:rFonts w:ascii="Calibri" w:eastAsia="Times New Roman" w:hAnsi="Calibri" w:cs="Times New Roman"/>
                <w:b/>
                <w:bCs/>
                <w:color w:val="000000"/>
              </w:rPr>
              <w:t>DOMLEC</w:t>
            </w:r>
          </w:p>
        </w:tc>
        <w:tc>
          <w:tcPr>
            <w:tcW w:w="162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b/>
                <w:bCs/>
                <w:color w:val="000000"/>
              </w:rPr>
            </w:pPr>
            <w:r w:rsidRPr="00FC1D2D">
              <w:rPr>
                <w:rFonts w:ascii="Calibri" w:eastAsia="Times New Roman" w:hAnsi="Calibri" w:cs="Times New Roman"/>
                <w:b/>
                <w:bCs/>
                <w:color w:val="000000"/>
              </w:rPr>
              <w:t>LUCELEC</w:t>
            </w:r>
          </w:p>
        </w:tc>
        <w:tc>
          <w:tcPr>
            <w:tcW w:w="144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b/>
                <w:bCs/>
                <w:color w:val="000000"/>
              </w:rPr>
            </w:pPr>
            <w:r w:rsidRPr="00FC1D2D">
              <w:rPr>
                <w:rFonts w:ascii="Calibri" w:eastAsia="Times New Roman" w:hAnsi="Calibri" w:cs="Times New Roman"/>
                <w:b/>
                <w:bCs/>
                <w:color w:val="000000"/>
              </w:rPr>
              <w:t>GRENLEC</w:t>
            </w:r>
          </w:p>
        </w:tc>
      </w:tr>
      <w:tr w:rsidR="00FC1D2D" w:rsidRPr="00FC1D2D" w:rsidTr="00F401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b/>
                <w:bCs/>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w:t>
            </w:r>
          </w:p>
        </w:tc>
      </w:tr>
      <w:tr w:rsidR="00FC1D2D" w:rsidRPr="00FC1D2D" w:rsidTr="00F401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2012</w:t>
            </w:r>
          </w:p>
        </w:tc>
        <w:tc>
          <w:tcPr>
            <w:tcW w:w="126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117 </w:t>
            </w:r>
          </w:p>
        </w:tc>
        <w:tc>
          <w:tcPr>
            <w:tcW w:w="162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N</w:t>
            </w:r>
            <w:r w:rsidR="0069517C">
              <w:rPr>
                <w:rFonts w:ascii="Calibri" w:eastAsia="Times New Roman" w:hAnsi="Calibri" w:cs="Times New Roman"/>
                <w:color w:val="000000"/>
              </w:rPr>
              <w:t>il</w:t>
            </w:r>
          </w:p>
        </w:tc>
        <w:tc>
          <w:tcPr>
            <w:tcW w:w="144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w:t>
            </w:r>
            <w:r w:rsidR="00876D5C">
              <w:rPr>
                <w:rFonts w:ascii="Calibri" w:eastAsia="Times New Roman" w:hAnsi="Calibri" w:cs="Times New Roman"/>
                <w:color w:val="000000"/>
              </w:rPr>
              <w:t>N</w:t>
            </w:r>
            <w:r w:rsidR="0069517C">
              <w:rPr>
                <w:rFonts w:ascii="Calibri" w:eastAsia="Times New Roman" w:hAnsi="Calibri" w:cs="Times New Roman"/>
                <w:color w:val="000000"/>
              </w:rPr>
              <w:t>il</w:t>
            </w:r>
          </w:p>
        </w:tc>
      </w:tr>
      <w:tr w:rsidR="00FC1D2D" w:rsidRPr="00FC1D2D" w:rsidTr="00F401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2013</w:t>
            </w:r>
          </w:p>
        </w:tc>
        <w:tc>
          <w:tcPr>
            <w:tcW w:w="126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60 </w:t>
            </w:r>
          </w:p>
        </w:tc>
        <w:tc>
          <w:tcPr>
            <w:tcW w:w="162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N</w:t>
            </w:r>
            <w:r w:rsidR="0069517C">
              <w:rPr>
                <w:rFonts w:ascii="Calibri" w:eastAsia="Times New Roman" w:hAnsi="Calibri" w:cs="Times New Roman"/>
                <w:color w:val="000000"/>
              </w:rPr>
              <w:t>il</w:t>
            </w:r>
          </w:p>
        </w:tc>
        <w:tc>
          <w:tcPr>
            <w:tcW w:w="1440" w:type="dxa"/>
            <w:tcBorders>
              <w:top w:val="nil"/>
              <w:left w:val="nil"/>
              <w:bottom w:val="single" w:sz="4" w:space="0" w:color="auto"/>
              <w:right w:val="single" w:sz="4" w:space="0" w:color="auto"/>
            </w:tcBorders>
            <w:shd w:val="clear" w:color="auto" w:fill="auto"/>
            <w:noWrap/>
            <w:vAlign w:val="bottom"/>
            <w:hideMark/>
          </w:tcPr>
          <w:p w:rsidR="00FC1D2D" w:rsidRPr="00FC1D2D" w:rsidRDefault="00876D5C" w:rsidP="004138AE">
            <w:pPr>
              <w:rPr>
                <w:rFonts w:ascii="Calibri" w:eastAsia="Times New Roman" w:hAnsi="Calibri" w:cs="Times New Roman"/>
                <w:color w:val="000000"/>
              </w:rPr>
            </w:pPr>
            <w:r>
              <w:rPr>
                <w:rFonts w:ascii="Calibri" w:eastAsia="Times New Roman" w:hAnsi="Calibri" w:cs="Times New Roman"/>
                <w:color w:val="000000"/>
              </w:rPr>
              <w:t>N</w:t>
            </w:r>
            <w:r w:rsidR="0069517C">
              <w:rPr>
                <w:rFonts w:ascii="Calibri" w:eastAsia="Times New Roman" w:hAnsi="Calibri" w:cs="Times New Roman"/>
                <w:color w:val="000000"/>
              </w:rPr>
              <w:t>il</w:t>
            </w:r>
          </w:p>
        </w:tc>
      </w:tr>
      <w:tr w:rsidR="00FC1D2D" w:rsidRPr="00FC1D2D" w:rsidTr="00F401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2014</w:t>
            </w:r>
          </w:p>
        </w:tc>
        <w:tc>
          <w:tcPr>
            <w:tcW w:w="126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131 </w:t>
            </w:r>
          </w:p>
        </w:tc>
        <w:tc>
          <w:tcPr>
            <w:tcW w:w="162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N</w:t>
            </w:r>
            <w:r w:rsidR="0069517C">
              <w:rPr>
                <w:rFonts w:ascii="Calibri" w:eastAsia="Times New Roman" w:hAnsi="Calibri" w:cs="Times New Roman"/>
                <w:color w:val="000000"/>
              </w:rPr>
              <w:t>il</w:t>
            </w:r>
          </w:p>
        </w:tc>
        <w:tc>
          <w:tcPr>
            <w:tcW w:w="144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621 </w:t>
            </w:r>
          </w:p>
        </w:tc>
      </w:tr>
      <w:tr w:rsidR="00FC1D2D" w:rsidRPr="00FC1D2D" w:rsidTr="00F401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2015</w:t>
            </w:r>
          </w:p>
        </w:tc>
        <w:tc>
          <w:tcPr>
            <w:tcW w:w="126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95 </w:t>
            </w:r>
          </w:p>
        </w:tc>
        <w:tc>
          <w:tcPr>
            <w:tcW w:w="162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N</w:t>
            </w:r>
            <w:r w:rsidR="0069517C">
              <w:rPr>
                <w:rFonts w:ascii="Calibri" w:eastAsia="Times New Roman" w:hAnsi="Calibri" w:cs="Times New Roman"/>
                <w:color w:val="000000"/>
              </w:rPr>
              <w:t>il</w:t>
            </w:r>
          </w:p>
        </w:tc>
        <w:tc>
          <w:tcPr>
            <w:tcW w:w="144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1,011 </w:t>
            </w:r>
          </w:p>
        </w:tc>
      </w:tr>
      <w:tr w:rsidR="00FC1D2D" w:rsidRPr="00FC1D2D" w:rsidTr="00F4012A">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2016</w:t>
            </w:r>
          </w:p>
        </w:tc>
        <w:tc>
          <w:tcPr>
            <w:tcW w:w="126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114 </w:t>
            </w:r>
          </w:p>
        </w:tc>
        <w:tc>
          <w:tcPr>
            <w:tcW w:w="1620" w:type="dxa"/>
            <w:tcBorders>
              <w:top w:val="nil"/>
              <w:left w:val="nil"/>
              <w:bottom w:val="single" w:sz="4" w:space="0" w:color="auto"/>
              <w:right w:val="single" w:sz="4" w:space="0" w:color="auto"/>
            </w:tcBorders>
            <w:shd w:val="clear" w:color="auto" w:fill="auto"/>
            <w:noWrap/>
            <w:vAlign w:val="bottom"/>
            <w:hideMark/>
          </w:tcPr>
          <w:p w:rsidR="00FC1D2D" w:rsidRPr="00FC1D2D" w:rsidRDefault="00FC1D2D" w:rsidP="004138AE">
            <w:pPr>
              <w:rPr>
                <w:rFonts w:ascii="Calibri" w:eastAsia="Times New Roman" w:hAnsi="Calibri" w:cs="Times New Roman"/>
                <w:color w:val="000000"/>
              </w:rPr>
            </w:pPr>
            <w:r w:rsidRPr="00FC1D2D">
              <w:rPr>
                <w:rFonts w:ascii="Calibri" w:eastAsia="Times New Roman" w:hAnsi="Calibri" w:cs="Times New Roman"/>
                <w:color w:val="000000"/>
              </w:rPr>
              <w:t xml:space="preserve"> N</w:t>
            </w:r>
            <w:r w:rsidR="0069517C">
              <w:rPr>
                <w:rFonts w:ascii="Calibri" w:eastAsia="Times New Roman" w:hAnsi="Calibri" w:cs="Times New Roman"/>
                <w:color w:val="000000"/>
              </w:rPr>
              <w:t>il</w:t>
            </w:r>
          </w:p>
        </w:tc>
        <w:tc>
          <w:tcPr>
            <w:tcW w:w="1440" w:type="dxa"/>
            <w:tcBorders>
              <w:top w:val="nil"/>
              <w:left w:val="nil"/>
              <w:bottom w:val="single" w:sz="4" w:space="0" w:color="auto"/>
              <w:right w:val="single" w:sz="4" w:space="0" w:color="auto"/>
            </w:tcBorders>
            <w:shd w:val="clear" w:color="auto" w:fill="auto"/>
            <w:noWrap/>
            <w:vAlign w:val="bottom"/>
            <w:hideMark/>
          </w:tcPr>
          <w:p w:rsidR="00FC1D2D" w:rsidRPr="00FC1D2D" w:rsidRDefault="00876D5C" w:rsidP="004138AE">
            <w:pPr>
              <w:rPr>
                <w:rFonts w:ascii="Calibri" w:eastAsia="Times New Roman" w:hAnsi="Calibri" w:cs="Times New Roman"/>
                <w:color w:val="000000"/>
              </w:rPr>
            </w:pPr>
            <w:r>
              <w:rPr>
                <w:rFonts w:ascii="Calibri" w:eastAsia="Times New Roman" w:hAnsi="Calibri" w:cs="Times New Roman"/>
                <w:color w:val="000000"/>
              </w:rPr>
              <w:t>NA</w:t>
            </w:r>
            <w:r w:rsidR="00FC1D2D" w:rsidRPr="00FC1D2D">
              <w:rPr>
                <w:rFonts w:ascii="Calibri" w:eastAsia="Times New Roman" w:hAnsi="Calibri" w:cs="Times New Roman"/>
                <w:color w:val="000000"/>
              </w:rPr>
              <w:t> </w:t>
            </w:r>
          </w:p>
        </w:tc>
      </w:tr>
    </w:tbl>
    <w:p w:rsidR="004E7D0D" w:rsidRDefault="004E7D0D" w:rsidP="004138AE">
      <w:pPr>
        <w:pStyle w:val="NoSpacing"/>
        <w:jc w:val="both"/>
        <w:rPr>
          <w:rFonts w:ascii="Times New Roman" w:hAnsi="Times New Roman" w:cs="Times New Roman"/>
          <w:sz w:val="24"/>
          <w:szCs w:val="24"/>
        </w:rPr>
      </w:pPr>
    </w:p>
    <w:p w:rsidR="009F092B" w:rsidRDefault="009F092B" w:rsidP="004138AE">
      <w:pPr>
        <w:pStyle w:val="NoSpacing"/>
        <w:jc w:val="both"/>
        <w:rPr>
          <w:rFonts w:ascii="Times New Roman" w:hAnsi="Times New Roman" w:cs="Times New Roman"/>
          <w:sz w:val="24"/>
          <w:szCs w:val="24"/>
        </w:rPr>
      </w:pPr>
    </w:p>
    <w:p w:rsidR="00DD0C92" w:rsidRDefault="00346A80" w:rsidP="004138AE">
      <w:pPr>
        <w:pStyle w:val="NoSpacing"/>
        <w:jc w:val="both"/>
        <w:rPr>
          <w:rFonts w:ascii="Times New Roman" w:hAnsi="Times New Roman" w:cs="Times New Roman"/>
          <w:sz w:val="24"/>
          <w:szCs w:val="24"/>
        </w:rPr>
      </w:pPr>
      <w:r>
        <w:rPr>
          <w:rFonts w:ascii="Times New Roman" w:hAnsi="Times New Roman" w:cs="Times New Roman"/>
          <w:sz w:val="24"/>
          <w:szCs w:val="24"/>
        </w:rPr>
        <w:t>In 2010, DOMLEC began</w:t>
      </w:r>
      <w:r w:rsidR="009F092B">
        <w:rPr>
          <w:rFonts w:ascii="Times New Roman" w:hAnsi="Times New Roman" w:cs="Times New Roman"/>
          <w:sz w:val="24"/>
          <w:szCs w:val="24"/>
        </w:rPr>
        <w:t xml:space="preserve"> purchasing energy from the </w:t>
      </w:r>
      <w:r>
        <w:rPr>
          <w:rFonts w:ascii="Times New Roman" w:hAnsi="Times New Roman" w:cs="Times New Roman"/>
          <w:sz w:val="24"/>
          <w:szCs w:val="24"/>
        </w:rPr>
        <w:t>distributed generators</w:t>
      </w:r>
      <w:r w:rsidR="009F092B">
        <w:rPr>
          <w:rFonts w:ascii="Times New Roman" w:hAnsi="Times New Roman" w:cs="Times New Roman"/>
          <w:sz w:val="24"/>
          <w:szCs w:val="24"/>
        </w:rPr>
        <w:t xml:space="preserve">.  As at December 2016, </w:t>
      </w:r>
      <w:r w:rsidR="00C50C80">
        <w:rPr>
          <w:rFonts w:ascii="Times New Roman" w:hAnsi="Times New Roman" w:cs="Times New Roman"/>
          <w:sz w:val="24"/>
          <w:szCs w:val="24"/>
        </w:rPr>
        <w:t>e</w:t>
      </w:r>
      <w:r w:rsidR="008A28EF">
        <w:rPr>
          <w:rFonts w:ascii="Times New Roman" w:hAnsi="Times New Roman" w:cs="Times New Roman"/>
          <w:sz w:val="24"/>
          <w:szCs w:val="24"/>
        </w:rPr>
        <w:t xml:space="preserve">ighteen (18) </w:t>
      </w:r>
      <w:r w:rsidR="009F092B">
        <w:rPr>
          <w:rFonts w:ascii="Times New Roman" w:hAnsi="Times New Roman" w:cs="Times New Roman"/>
          <w:sz w:val="24"/>
          <w:szCs w:val="24"/>
        </w:rPr>
        <w:t>distributed generators</w:t>
      </w:r>
      <w:r w:rsidR="00C50C80">
        <w:rPr>
          <w:rFonts w:ascii="Times New Roman" w:hAnsi="Times New Roman" w:cs="Times New Roman"/>
          <w:sz w:val="24"/>
          <w:szCs w:val="24"/>
        </w:rPr>
        <w:t xml:space="preserve"> were selling excess energy to the Grid</w:t>
      </w:r>
      <w:r w:rsidR="008A28EF">
        <w:rPr>
          <w:rFonts w:ascii="Times New Roman" w:hAnsi="Times New Roman" w:cs="Times New Roman"/>
          <w:sz w:val="24"/>
          <w:szCs w:val="24"/>
        </w:rPr>
        <w:t xml:space="preserve">.  The trend showed that </w:t>
      </w:r>
      <w:r w:rsidR="00876D5C">
        <w:rPr>
          <w:rFonts w:ascii="Times New Roman" w:hAnsi="Times New Roman" w:cs="Times New Roman"/>
          <w:sz w:val="24"/>
          <w:szCs w:val="24"/>
        </w:rPr>
        <w:t xml:space="preserve">the </w:t>
      </w:r>
      <w:r>
        <w:rPr>
          <w:rFonts w:ascii="Times New Roman" w:hAnsi="Times New Roman" w:cs="Times New Roman"/>
          <w:sz w:val="24"/>
          <w:szCs w:val="24"/>
        </w:rPr>
        <w:t>l</w:t>
      </w:r>
      <w:r w:rsidR="00DD0C92">
        <w:rPr>
          <w:rFonts w:ascii="Times New Roman" w:hAnsi="Times New Roman" w:cs="Times New Roman"/>
          <w:sz w:val="24"/>
          <w:szCs w:val="24"/>
        </w:rPr>
        <w:t xml:space="preserve">owest </w:t>
      </w:r>
      <w:r w:rsidR="00C50C80">
        <w:rPr>
          <w:rFonts w:ascii="Times New Roman" w:hAnsi="Times New Roman" w:cs="Times New Roman"/>
          <w:sz w:val="24"/>
          <w:szCs w:val="24"/>
        </w:rPr>
        <w:t xml:space="preserve">quantum </w:t>
      </w:r>
      <w:r w:rsidR="00DD0C92">
        <w:rPr>
          <w:rFonts w:ascii="Times New Roman" w:hAnsi="Times New Roman" w:cs="Times New Roman"/>
          <w:sz w:val="24"/>
          <w:szCs w:val="24"/>
        </w:rPr>
        <w:t>of energy</w:t>
      </w:r>
      <w:r w:rsidR="008A28EF">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8A28EF">
        <w:rPr>
          <w:rFonts w:ascii="Times New Roman" w:hAnsi="Times New Roman" w:cs="Times New Roman"/>
          <w:sz w:val="24"/>
          <w:szCs w:val="24"/>
        </w:rPr>
        <w:t xml:space="preserve">purchased </w:t>
      </w:r>
      <w:r>
        <w:rPr>
          <w:rFonts w:ascii="Times New Roman" w:hAnsi="Times New Roman" w:cs="Times New Roman"/>
          <w:sz w:val="24"/>
          <w:szCs w:val="24"/>
        </w:rPr>
        <w:t xml:space="preserve">in </w:t>
      </w:r>
      <w:r w:rsidR="00DD0C92">
        <w:rPr>
          <w:rFonts w:ascii="Times New Roman" w:hAnsi="Times New Roman" w:cs="Times New Roman"/>
          <w:sz w:val="24"/>
          <w:szCs w:val="24"/>
        </w:rPr>
        <w:t>2013 while</w:t>
      </w:r>
      <w:r w:rsidR="00876D5C">
        <w:rPr>
          <w:rFonts w:ascii="Times New Roman" w:hAnsi="Times New Roman" w:cs="Times New Roman"/>
          <w:sz w:val="24"/>
          <w:szCs w:val="24"/>
        </w:rPr>
        <w:t xml:space="preserve"> the  </w:t>
      </w:r>
      <w:r>
        <w:rPr>
          <w:rFonts w:ascii="Times New Roman" w:hAnsi="Times New Roman" w:cs="Times New Roman"/>
          <w:sz w:val="24"/>
          <w:szCs w:val="24"/>
        </w:rPr>
        <w:t xml:space="preserve"> largest </w:t>
      </w:r>
      <w:r w:rsidR="00876D5C">
        <w:rPr>
          <w:rFonts w:ascii="Times New Roman" w:hAnsi="Times New Roman" w:cs="Times New Roman"/>
          <w:sz w:val="24"/>
          <w:szCs w:val="24"/>
        </w:rPr>
        <w:t>amount</w:t>
      </w:r>
      <w:r w:rsidR="008A28EF">
        <w:rPr>
          <w:rFonts w:ascii="Times New Roman" w:hAnsi="Times New Roman" w:cs="Times New Roman"/>
          <w:sz w:val="24"/>
          <w:szCs w:val="24"/>
        </w:rPr>
        <w:t xml:space="preserve"> </w:t>
      </w:r>
      <w:r w:rsidR="00876D5C">
        <w:rPr>
          <w:rFonts w:ascii="Times New Roman" w:hAnsi="Times New Roman" w:cs="Times New Roman"/>
          <w:sz w:val="24"/>
          <w:szCs w:val="24"/>
        </w:rPr>
        <w:t xml:space="preserve">was </w:t>
      </w:r>
      <w:r w:rsidR="00C50C80">
        <w:rPr>
          <w:rFonts w:ascii="Times New Roman" w:hAnsi="Times New Roman" w:cs="Times New Roman"/>
          <w:sz w:val="24"/>
          <w:szCs w:val="24"/>
        </w:rPr>
        <w:t>purchased</w:t>
      </w:r>
      <w:r>
        <w:rPr>
          <w:rFonts w:ascii="Times New Roman" w:hAnsi="Times New Roman" w:cs="Times New Roman"/>
          <w:sz w:val="24"/>
          <w:szCs w:val="24"/>
        </w:rPr>
        <w:t xml:space="preserve"> </w:t>
      </w:r>
      <w:r w:rsidR="00876D5C">
        <w:rPr>
          <w:rFonts w:ascii="Times New Roman" w:hAnsi="Times New Roman" w:cs="Times New Roman"/>
          <w:sz w:val="24"/>
          <w:szCs w:val="24"/>
        </w:rPr>
        <w:t xml:space="preserve">in </w:t>
      </w:r>
      <w:r w:rsidR="008A28EF">
        <w:rPr>
          <w:rFonts w:ascii="Times New Roman" w:hAnsi="Times New Roman" w:cs="Times New Roman"/>
          <w:sz w:val="24"/>
          <w:szCs w:val="24"/>
        </w:rPr>
        <w:t>2014</w:t>
      </w:r>
      <w:r w:rsidR="00876D5C">
        <w:rPr>
          <w:rFonts w:ascii="Times New Roman" w:hAnsi="Times New Roman" w:cs="Times New Roman"/>
          <w:sz w:val="24"/>
          <w:szCs w:val="24"/>
        </w:rPr>
        <w:t xml:space="preserve">. </w:t>
      </w:r>
      <w:r w:rsidR="007E19BE">
        <w:rPr>
          <w:rFonts w:ascii="Times New Roman" w:hAnsi="Times New Roman" w:cs="Times New Roman"/>
          <w:sz w:val="24"/>
          <w:szCs w:val="24"/>
        </w:rPr>
        <w:t>Actually, there</w:t>
      </w:r>
      <w:r w:rsidR="00876D5C">
        <w:rPr>
          <w:rFonts w:ascii="Times New Roman" w:hAnsi="Times New Roman" w:cs="Times New Roman"/>
          <w:sz w:val="24"/>
          <w:szCs w:val="24"/>
        </w:rPr>
        <w:t xml:space="preserve"> was a minimal decrease in energy purchased of 2.57% from 2012 to 2016.</w:t>
      </w:r>
      <w:r w:rsidR="00C50C80">
        <w:rPr>
          <w:rFonts w:ascii="Times New Roman" w:hAnsi="Times New Roman" w:cs="Times New Roman"/>
          <w:sz w:val="24"/>
          <w:szCs w:val="24"/>
        </w:rPr>
        <w:t xml:space="preserve"> </w:t>
      </w:r>
      <w:r w:rsidR="00DD0C92">
        <w:rPr>
          <w:rFonts w:ascii="Times New Roman" w:hAnsi="Times New Roman" w:cs="Times New Roman"/>
          <w:sz w:val="24"/>
          <w:szCs w:val="24"/>
        </w:rPr>
        <w:t>A</w:t>
      </w:r>
      <w:r w:rsidR="00D92E6D">
        <w:rPr>
          <w:rFonts w:ascii="Times New Roman" w:hAnsi="Times New Roman" w:cs="Times New Roman"/>
          <w:sz w:val="24"/>
          <w:szCs w:val="24"/>
        </w:rPr>
        <w:t>s</w:t>
      </w:r>
      <w:r w:rsidR="00DD0C92">
        <w:rPr>
          <w:rFonts w:ascii="Times New Roman" w:hAnsi="Times New Roman" w:cs="Times New Roman"/>
          <w:sz w:val="24"/>
          <w:szCs w:val="24"/>
        </w:rPr>
        <w:t xml:space="preserve"> can be seen</w:t>
      </w:r>
      <w:r w:rsidR="00C50C80">
        <w:rPr>
          <w:rFonts w:ascii="Times New Roman" w:hAnsi="Times New Roman" w:cs="Times New Roman"/>
          <w:sz w:val="24"/>
          <w:szCs w:val="24"/>
        </w:rPr>
        <w:t>,</w:t>
      </w:r>
      <w:r w:rsidR="00DD0C92">
        <w:rPr>
          <w:rFonts w:ascii="Times New Roman" w:hAnsi="Times New Roman" w:cs="Times New Roman"/>
          <w:sz w:val="24"/>
          <w:szCs w:val="24"/>
        </w:rPr>
        <w:t xml:space="preserve"> </w:t>
      </w:r>
      <w:r w:rsidR="00C50C80">
        <w:rPr>
          <w:rFonts w:ascii="Times New Roman" w:hAnsi="Times New Roman" w:cs="Times New Roman"/>
          <w:sz w:val="24"/>
          <w:szCs w:val="24"/>
        </w:rPr>
        <w:t xml:space="preserve">between </w:t>
      </w:r>
      <w:r w:rsidR="00DD0C92">
        <w:rPr>
          <w:rFonts w:ascii="Times New Roman" w:hAnsi="Times New Roman" w:cs="Times New Roman"/>
          <w:sz w:val="24"/>
          <w:szCs w:val="24"/>
        </w:rPr>
        <w:t>2014 and 2015</w:t>
      </w:r>
      <w:r w:rsidR="00C50C80">
        <w:rPr>
          <w:rFonts w:ascii="Times New Roman" w:hAnsi="Times New Roman" w:cs="Times New Roman"/>
          <w:sz w:val="24"/>
          <w:szCs w:val="24"/>
        </w:rPr>
        <w:t xml:space="preserve"> the quantum of energy purchased by </w:t>
      </w:r>
      <w:r w:rsidR="00DD0C92">
        <w:rPr>
          <w:rFonts w:ascii="Times New Roman" w:hAnsi="Times New Roman" w:cs="Times New Roman"/>
          <w:sz w:val="24"/>
          <w:szCs w:val="24"/>
        </w:rPr>
        <w:t xml:space="preserve">GRENLEC </w:t>
      </w:r>
      <w:r w:rsidR="00C50C80">
        <w:rPr>
          <w:rFonts w:ascii="Times New Roman" w:hAnsi="Times New Roman" w:cs="Times New Roman"/>
          <w:sz w:val="24"/>
          <w:szCs w:val="24"/>
        </w:rPr>
        <w:t xml:space="preserve">increased by 63%. </w:t>
      </w:r>
    </w:p>
    <w:p w:rsidR="00DD0C92" w:rsidRDefault="00DD0C92" w:rsidP="004138AE">
      <w:pPr>
        <w:pStyle w:val="NoSpacing"/>
        <w:jc w:val="both"/>
        <w:rPr>
          <w:rFonts w:ascii="Times New Roman" w:hAnsi="Times New Roman" w:cs="Times New Roman"/>
          <w:sz w:val="24"/>
          <w:szCs w:val="24"/>
        </w:rPr>
      </w:pPr>
    </w:p>
    <w:p w:rsidR="00875737" w:rsidRDefault="00875737" w:rsidP="004138AE">
      <w:pPr>
        <w:pStyle w:val="NoSpacing"/>
        <w:jc w:val="both"/>
        <w:outlineLvl w:val="2"/>
        <w:rPr>
          <w:rFonts w:ascii="Times New Roman" w:hAnsi="Times New Roman" w:cs="Times New Roman"/>
          <w:b/>
          <w:sz w:val="24"/>
          <w:szCs w:val="24"/>
        </w:rPr>
      </w:pPr>
      <w:bookmarkStart w:id="27" w:name="_Toc485128757"/>
    </w:p>
    <w:p w:rsidR="00875737" w:rsidRDefault="00875737" w:rsidP="004138AE">
      <w:pPr>
        <w:pStyle w:val="NoSpacing"/>
        <w:jc w:val="both"/>
        <w:outlineLvl w:val="2"/>
        <w:rPr>
          <w:rFonts w:ascii="Times New Roman" w:hAnsi="Times New Roman" w:cs="Times New Roman"/>
          <w:b/>
          <w:sz w:val="24"/>
          <w:szCs w:val="24"/>
        </w:rPr>
      </w:pPr>
    </w:p>
    <w:p w:rsidR="00875737" w:rsidRDefault="00875737" w:rsidP="004138AE">
      <w:pPr>
        <w:pStyle w:val="NoSpacing"/>
        <w:jc w:val="both"/>
        <w:outlineLvl w:val="2"/>
        <w:rPr>
          <w:rFonts w:ascii="Times New Roman" w:hAnsi="Times New Roman" w:cs="Times New Roman"/>
          <w:b/>
          <w:sz w:val="24"/>
          <w:szCs w:val="24"/>
        </w:rPr>
      </w:pPr>
    </w:p>
    <w:p w:rsidR="00875737" w:rsidRDefault="00875737" w:rsidP="004138AE">
      <w:pPr>
        <w:pStyle w:val="NoSpacing"/>
        <w:jc w:val="both"/>
        <w:outlineLvl w:val="2"/>
        <w:rPr>
          <w:rFonts w:ascii="Times New Roman" w:hAnsi="Times New Roman" w:cs="Times New Roman"/>
          <w:b/>
          <w:sz w:val="24"/>
          <w:szCs w:val="24"/>
        </w:rPr>
      </w:pPr>
    </w:p>
    <w:p w:rsidR="00D46BC6" w:rsidRDefault="00D46BC6" w:rsidP="004138AE">
      <w:pPr>
        <w:pStyle w:val="NoSpacing"/>
        <w:jc w:val="both"/>
        <w:outlineLvl w:val="2"/>
        <w:rPr>
          <w:rFonts w:ascii="Times New Roman" w:hAnsi="Times New Roman" w:cs="Times New Roman"/>
          <w:b/>
          <w:sz w:val="24"/>
          <w:szCs w:val="24"/>
        </w:rPr>
      </w:pPr>
    </w:p>
    <w:p w:rsidR="001928E8" w:rsidRDefault="001928E8" w:rsidP="004138AE">
      <w:pPr>
        <w:pStyle w:val="NoSpacing"/>
        <w:jc w:val="both"/>
        <w:outlineLvl w:val="2"/>
        <w:rPr>
          <w:rFonts w:ascii="Times New Roman" w:hAnsi="Times New Roman" w:cs="Times New Roman"/>
          <w:b/>
          <w:sz w:val="24"/>
          <w:szCs w:val="24"/>
        </w:rPr>
      </w:pPr>
    </w:p>
    <w:p w:rsidR="001928E8" w:rsidRDefault="001928E8" w:rsidP="004138AE">
      <w:pPr>
        <w:pStyle w:val="NoSpacing"/>
        <w:jc w:val="both"/>
        <w:outlineLvl w:val="2"/>
        <w:rPr>
          <w:rFonts w:ascii="Times New Roman" w:hAnsi="Times New Roman" w:cs="Times New Roman"/>
          <w:b/>
          <w:sz w:val="24"/>
          <w:szCs w:val="24"/>
        </w:rPr>
      </w:pPr>
    </w:p>
    <w:p w:rsidR="001928E8" w:rsidRDefault="001928E8" w:rsidP="004138AE">
      <w:pPr>
        <w:pStyle w:val="NoSpacing"/>
        <w:jc w:val="both"/>
        <w:outlineLvl w:val="2"/>
        <w:rPr>
          <w:rFonts w:ascii="Times New Roman" w:hAnsi="Times New Roman" w:cs="Times New Roman"/>
          <w:b/>
          <w:sz w:val="24"/>
          <w:szCs w:val="24"/>
        </w:rPr>
      </w:pPr>
    </w:p>
    <w:p w:rsidR="00875737" w:rsidRDefault="00875737" w:rsidP="004138AE">
      <w:pPr>
        <w:pStyle w:val="NoSpacing"/>
        <w:jc w:val="both"/>
        <w:outlineLvl w:val="2"/>
        <w:rPr>
          <w:rFonts w:ascii="Times New Roman" w:hAnsi="Times New Roman" w:cs="Times New Roman"/>
          <w:b/>
          <w:sz w:val="24"/>
          <w:szCs w:val="24"/>
        </w:rPr>
      </w:pPr>
    </w:p>
    <w:p w:rsidR="00B60632" w:rsidRDefault="00B60632" w:rsidP="004138AE">
      <w:pPr>
        <w:pStyle w:val="NoSpacing"/>
        <w:jc w:val="both"/>
        <w:outlineLvl w:val="2"/>
        <w:rPr>
          <w:rFonts w:ascii="Times New Roman" w:hAnsi="Times New Roman" w:cs="Times New Roman"/>
          <w:b/>
          <w:sz w:val="24"/>
          <w:szCs w:val="24"/>
        </w:rPr>
      </w:pPr>
    </w:p>
    <w:p w:rsidR="00FB6A88" w:rsidRDefault="00FB6A88" w:rsidP="004138AE">
      <w:pPr>
        <w:pStyle w:val="NoSpacing"/>
        <w:jc w:val="both"/>
        <w:outlineLvl w:val="2"/>
        <w:rPr>
          <w:rFonts w:ascii="Times New Roman" w:hAnsi="Times New Roman" w:cs="Times New Roman"/>
          <w:b/>
          <w:sz w:val="24"/>
          <w:szCs w:val="24"/>
        </w:rPr>
      </w:pPr>
    </w:p>
    <w:p w:rsidR="00FB6A88" w:rsidRDefault="00FB6A88" w:rsidP="004138AE">
      <w:pPr>
        <w:pStyle w:val="NoSpacing"/>
        <w:jc w:val="both"/>
        <w:outlineLvl w:val="2"/>
        <w:rPr>
          <w:rFonts w:ascii="Times New Roman" w:hAnsi="Times New Roman" w:cs="Times New Roman"/>
          <w:b/>
          <w:sz w:val="24"/>
          <w:szCs w:val="24"/>
        </w:rPr>
      </w:pPr>
    </w:p>
    <w:p w:rsidR="00FB6A88" w:rsidRDefault="00FB6A88" w:rsidP="004138AE">
      <w:pPr>
        <w:pStyle w:val="NoSpacing"/>
        <w:jc w:val="both"/>
        <w:outlineLvl w:val="2"/>
        <w:rPr>
          <w:rFonts w:ascii="Times New Roman" w:hAnsi="Times New Roman" w:cs="Times New Roman"/>
          <w:b/>
          <w:sz w:val="24"/>
          <w:szCs w:val="24"/>
        </w:rPr>
      </w:pPr>
    </w:p>
    <w:p w:rsidR="00F4012A" w:rsidRDefault="00F4012A" w:rsidP="004138AE">
      <w:pPr>
        <w:pStyle w:val="NoSpacing"/>
        <w:jc w:val="both"/>
        <w:outlineLvl w:val="2"/>
        <w:rPr>
          <w:rFonts w:ascii="Times New Roman" w:hAnsi="Times New Roman" w:cs="Times New Roman"/>
          <w:b/>
          <w:sz w:val="24"/>
          <w:szCs w:val="24"/>
        </w:rPr>
      </w:pPr>
    </w:p>
    <w:p w:rsidR="00F4012A" w:rsidRDefault="00F4012A" w:rsidP="004138AE">
      <w:pPr>
        <w:pStyle w:val="NoSpacing"/>
        <w:jc w:val="both"/>
        <w:outlineLvl w:val="2"/>
        <w:rPr>
          <w:rFonts w:ascii="Times New Roman" w:hAnsi="Times New Roman" w:cs="Times New Roman"/>
          <w:b/>
          <w:sz w:val="24"/>
          <w:szCs w:val="24"/>
        </w:rPr>
      </w:pPr>
    </w:p>
    <w:p w:rsidR="005563E8" w:rsidRDefault="00110C86" w:rsidP="004138AE">
      <w:pPr>
        <w:pStyle w:val="NoSpacing"/>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e</w:t>
      </w:r>
      <w:r w:rsidRPr="00110C86">
        <w:rPr>
          <w:rFonts w:ascii="Times New Roman" w:hAnsi="Times New Roman" w:cs="Times New Roman"/>
          <w:b/>
          <w:sz w:val="24"/>
          <w:szCs w:val="24"/>
        </w:rPr>
        <w:t>.</w:t>
      </w:r>
      <w:r w:rsidR="00364A35" w:rsidRPr="00110C86">
        <w:rPr>
          <w:rFonts w:ascii="Times New Roman" w:hAnsi="Times New Roman" w:cs="Times New Roman"/>
          <w:b/>
          <w:sz w:val="24"/>
          <w:szCs w:val="24"/>
        </w:rPr>
        <w:t xml:space="preserve"> </w:t>
      </w:r>
      <w:r w:rsidR="004E7D0D" w:rsidRPr="00110C86">
        <w:rPr>
          <w:rFonts w:ascii="Times New Roman" w:hAnsi="Times New Roman" w:cs="Times New Roman"/>
          <w:b/>
          <w:sz w:val="24"/>
          <w:szCs w:val="24"/>
        </w:rPr>
        <w:t>Energy Sal</w:t>
      </w:r>
      <w:bookmarkEnd w:id="27"/>
      <w:r w:rsidR="005563E8">
        <w:rPr>
          <w:rFonts w:ascii="Times New Roman" w:hAnsi="Times New Roman" w:cs="Times New Roman"/>
          <w:b/>
          <w:sz w:val="24"/>
          <w:szCs w:val="24"/>
        </w:rPr>
        <w:t>es</w:t>
      </w:r>
    </w:p>
    <w:p w:rsidR="005563E8" w:rsidRDefault="005563E8" w:rsidP="004138AE">
      <w:pPr>
        <w:pStyle w:val="NoSpacing"/>
        <w:jc w:val="both"/>
        <w:outlineLvl w:val="2"/>
        <w:rPr>
          <w:rFonts w:ascii="Times New Roman" w:hAnsi="Times New Roman" w:cs="Times New Roman"/>
          <w:b/>
          <w:sz w:val="24"/>
          <w:szCs w:val="24"/>
        </w:rPr>
      </w:pPr>
    </w:p>
    <w:p w:rsidR="004E7D0D" w:rsidRDefault="00797D89" w:rsidP="004138AE">
      <w:pPr>
        <w:pStyle w:val="NoSpacing"/>
        <w:jc w:val="both"/>
        <w:outlineLvl w:val="2"/>
        <w:rPr>
          <w:rFonts w:ascii="Times New Roman" w:hAnsi="Times New Roman" w:cs="Times New Roman"/>
          <w:b/>
          <w:sz w:val="24"/>
          <w:szCs w:val="24"/>
        </w:rPr>
      </w:pPr>
      <w:r>
        <w:rPr>
          <w:rFonts w:ascii="Times New Roman" w:hAnsi="Times New Roman" w:cs="Times New Roman"/>
          <w:b/>
          <w:sz w:val="24"/>
          <w:szCs w:val="24"/>
        </w:rPr>
        <w:t>Table 16</w:t>
      </w:r>
      <w:r w:rsidR="00875737">
        <w:rPr>
          <w:rFonts w:ascii="Times New Roman" w:hAnsi="Times New Roman" w:cs="Times New Roman"/>
          <w:b/>
          <w:sz w:val="24"/>
          <w:szCs w:val="24"/>
        </w:rPr>
        <w:t xml:space="preserve"> Energy Sales 2012-2016</w:t>
      </w:r>
      <w:r w:rsidR="00D92E6D">
        <w:rPr>
          <w:rFonts w:ascii="Times New Roman" w:hAnsi="Times New Roman" w:cs="Times New Roman"/>
          <w:b/>
          <w:sz w:val="24"/>
          <w:szCs w:val="24"/>
        </w:rPr>
        <w:t xml:space="preserve">, </w:t>
      </w:r>
      <w:r w:rsidR="003E1BC8">
        <w:rPr>
          <w:rFonts w:ascii="Times New Roman" w:hAnsi="Times New Roman" w:cs="Times New Roman"/>
          <w:b/>
          <w:sz w:val="24"/>
          <w:szCs w:val="24"/>
        </w:rPr>
        <w:t xml:space="preserve">kWh </w:t>
      </w:r>
      <w:r w:rsidR="00D92E6D">
        <w:rPr>
          <w:rFonts w:ascii="Times New Roman" w:hAnsi="Times New Roman" w:cs="Times New Roman"/>
          <w:b/>
          <w:sz w:val="24"/>
          <w:szCs w:val="24"/>
        </w:rPr>
        <w:t>000s</w:t>
      </w:r>
    </w:p>
    <w:p w:rsidR="00875737" w:rsidRDefault="00875737" w:rsidP="004138AE">
      <w:pPr>
        <w:pStyle w:val="NoSpacing"/>
        <w:jc w:val="both"/>
        <w:outlineLvl w:val="2"/>
        <w:rPr>
          <w:rFonts w:ascii="Calibri" w:eastAsia="Times New Roman" w:hAnsi="Calibri" w:cs="Times New Roman"/>
          <w:b/>
          <w:bCs/>
          <w:color w:val="000000"/>
        </w:rPr>
      </w:pPr>
    </w:p>
    <w:tbl>
      <w:tblPr>
        <w:tblW w:w="8010" w:type="dxa"/>
        <w:tblInd w:w="738" w:type="dxa"/>
        <w:tblLook w:val="04A0"/>
      </w:tblPr>
      <w:tblGrid>
        <w:gridCol w:w="1980"/>
        <w:gridCol w:w="1260"/>
        <w:gridCol w:w="1170"/>
        <w:gridCol w:w="1155"/>
        <w:gridCol w:w="1220"/>
        <w:gridCol w:w="1225"/>
      </w:tblGrid>
      <w:tr w:rsidR="00875737" w:rsidRPr="00875737" w:rsidTr="00F4012A">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2016</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DOMLEC</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Domestic</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40,795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40,800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41,684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43,256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45,847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B60632" w:rsidP="004138AE">
            <w:pPr>
              <w:rPr>
                <w:rFonts w:ascii="Calibri" w:eastAsia="Times New Roman" w:hAnsi="Calibri" w:cs="Times New Roman"/>
                <w:color w:val="000000"/>
              </w:rPr>
            </w:pPr>
            <w:r w:rsidRPr="00875737">
              <w:rPr>
                <w:rFonts w:ascii="Calibri" w:eastAsia="Times New Roman" w:hAnsi="Calibri" w:cs="Times New Roman"/>
                <w:color w:val="000000"/>
              </w:rPr>
              <w:t>Commercial</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38,692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37,631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37,503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39,163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40,820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Industries</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7,868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7,949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8,721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9,260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9,492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Hotel </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1,071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1,192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1,377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1,299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1,245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Streetlight </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1,697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1,767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1,874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1,980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1,980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90,123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89,339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91,159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94,958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99,384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LUCELEC</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2012</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2013</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2014</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2015</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2016</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Domestic</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112,272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112,743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111,922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116,133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NA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B60632" w:rsidP="004138AE">
            <w:pPr>
              <w:rPr>
                <w:rFonts w:ascii="Calibri" w:eastAsia="Times New Roman" w:hAnsi="Calibri" w:cs="Times New Roman"/>
                <w:color w:val="000000"/>
              </w:rPr>
            </w:pPr>
            <w:r w:rsidRPr="00875737">
              <w:rPr>
                <w:rFonts w:ascii="Calibri" w:eastAsia="Times New Roman" w:hAnsi="Calibri" w:cs="Times New Roman"/>
                <w:color w:val="000000"/>
              </w:rPr>
              <w:t>Commercial</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198,847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193,199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191,294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192,442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NA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Industries</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17,679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17,624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17,673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17,999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NA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Streetlight </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10,526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10,913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11,050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10,966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NA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339,324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334,479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331,939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337,540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GRENLEC</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2012</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2013</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2014</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2015</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2016</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Domestic</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69,123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68,455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68,229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70,083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NA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665C23" w:rsidP="004138AE">
            <w:pPr>
              <w:rPr>
                <w:rFonts w:ascii="Calibri" w:eastAsia="Times New Roman" w:hAnsi="Calibri" w:cs="Times New Roman"/>
                <w:color w:val="000000"/>
              </w:rPr>
            </w:pPr>
            <w:r w:rsidRPr="00875737">
              <w:rPr>
                <w:rFonts w:ascii="Calibri" w:eastAsia="Times New Roman" w:hAnsi="Calibri" w:cs="Times New Roman"/>
                <w:color w:val="000000"/>
              </w:rPr>
              <w:t>Commercial</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98,783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96,822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100,432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103,664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NA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Industries</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5,845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5,907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5,803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5,594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NA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Streetlight </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4,680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4,627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4,698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4,698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xml:space="preserve"> NA </w:t>
            </w:r>
          </w:p>
        </w:tc>
      </w:tr>
      <w:tr w:rsidR="00875737" w:rsidRPr="00875737" w:rsidTr="00F4012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178,431 </w:t>
            </w:r>
          </w:p>
        </w:tc>
        <w:tc>
          <w:tcPr>
            <w:tcW w:w="117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175,811 </w:t>
            </w:r>
          </w:p>
        </w:tc>
        <w:tc>
          <w:tcPr>
            <w:tcW w:w="115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179,162 </w:t>
            </w:r>
          </w:p>
        </w:tc>
        <w:tc>
          <w:tcPr>
            <w:tcW w:w="1220"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b/>
                <w:bCs/>
                <w:color w:val="000000"/>
              </w:rPr>
            </w:pPr>
            <w:r w:rsidRPr="00875737">
              <w:rPr>
                <w:rFonts w:ascii="Calibri" w:eastAsia="Times New Roman" w:hAnsi="Calibri" w:cs="Times New Roman"/>
                <w:b/>
                <w:bCs/>
                <w:color w:val="000000"/>
              </w:rPr>
              <w:t xml:space="preserve">         184,039 </w:t>
            </w:r>
          </w:p>
        </w:tc>
        <w:tc>
          <w:tcPr>
            <w:tcW w:w="1225" w:type="dxa"/>
            <w:tcBorders>
              <w:top w:val="nil"/>
              <w:left w:val="nil"/>
              <w:bottom w:val="single" w:sz="4" w:space="0" w:color="auto"/>
              <w:right w:val="single" w:sz="4" w:space="0" w:color="auto"/>
            </w:tcBorders>
            <w:shd w:val="clear" w:color="auto" w:fill="auto"/>
            <w:noWrap/>
            <w:vAlign w:val="bottom"/>
            <w:hideMark/>
          </w:tcPr>
          <w:p w:rsidR="00875737" w:rsidRPr="00875737" w:rsidRDefault="00875737" w:rsidP="004138AE">
            <w:pPr>
              <w:rPr>
                <w:rFonts w:ascii="Calibri" w:eastAsia="Times New Roman" w:hAnsi="Calibri" w:cs="Times New Roman"/>
                <w:color w:val="000000"/>
              </w:rPr>
            </w:pPr>
            <w:r w:rsidRPr="00875737">
              <w:rPr>
                <w:rFonts w:ascii="Calibri" w:eastAsia="Times New Roman" w:hAnsi="Calibri" w:cs="Times New Roman"/>
                <w:color w:val="000000"/>
              </w:rPr>
              <w:t> </w:t>
            </w:r>
          </w:p>
        </w:tc>
      </w:tr>
    </w:tbl>
    <w:p w:rsidR="00C80865" w:rsidRDefault="00C80865" w:rsidP="004138AE">
      <w:pPr>
        <w:pStyle w:val="NoSpacing"/>
        <w:jc w:val="both"/>
        <w:rPr>
          <w:rFonts w:ascii="Times New Roman" w:hAnsi="Times New Roman" w:cs="Times New Roman"/>
          <w:sz w:val="24"/>
          <w:szCs w:val="24"/>
        </w:rPr>
      </w:pPr>
    </w:p>
    <w:p w:rsidR="00D46BC6" w:rsidRDefault="00D46BC6" w:rsidP="004138AE">
      <w:pPr>
        <w:pStyle w:val="NoSpacing"/>
        <w:jc w:val="both"/>
        <w:rPr>
          <w:rFonts w:ascii="Times New Roman" w:hAnsi="Times New Roman" w:cs="Times New Roman"/>
          <w:sz w:val="24"/>
          <w:szCs w:val="24"/>
        </w:rPr>
      </w:pPr>
    </w:p>
    <w:p w:rsidR="00E72797" w:rsidRDefault="005563E8" w:rsidP="004138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From the table above, </w:t>
      </w:r>
      <w:r w:rsidR="00473300">
        <w:rPr>
          <w:rFonts w:ascii="Times New Roman" w:hAnsi="Times New Roman" w:cs="Times New Roman"/>
          <w:sz w:val="24"/>
          <w:szCs w:val="24"/>
        </w:rPr>
        <w:t xml:space="preserve">it is evident </w:t>
      </w:r>
      <w:r w:rsidR="00665C23">
        <w:rPr>
          <w:rFonts w:ascii="Times New Roman" w:hAnsi="Times New Roman" w:cs="Times New Roman"/>
          <w:sz w:val="24"/>
          <w:szCs w:val="24"/>
        </w:rPr>
        <w:t>that</w:t>
      </w:r>
      <w:r w:rsidR="000C1C25">
        <w:rPr>
          <w:rFonts w:ascii="Times New Roman" w:hAnsi="Times New Roman" w:cs="Times New Roman"/>
          <w:sz w:val="24"/>
          <w:szCs w:val="24"/>
        </w:rPr>
        <w:t xml:space="preserve"> </w:t>
      </w:r>
      <w:r w:rsidR="00665C23">
        <w:rPr>
          <w:rFonts w:ascii="Times New Roman" w:hAnsi="Times New Roman" w:cs="Times New Roman"/>
          <w:sz w:val="24"/>
          <w:szCs w:val="24"/>
        </w:rPr>
        <w:t>energy sales</w:t>
      </w:r>
      <w:r w:rsidR="000C1C25">
        <w:rPr>
          <w:rFonts w:ascii="Times New Roman" w:hAnsi="Times New Roman" w:cs="Times New Roman"/>
          <w:sz w:val="24"/>
          <w:szCs w:val="24"/>
        </w:rPr>
        <w:t xml:space="preserve"> </w:t>
      </w:r>
      <w:r w:rsidR="00BB6B85">
        <w:rPr>
          <w:rFonts w:ascii="Times New Roman" w:hAnsi="Times New Roman" w:cs="Times New Roman"/>
          <w:sz w:val="24"/>
          <w:szCs w:val="24"/>
        </w:rPr>
        <w:t xml:space="preserve">grew </w:t>
      </w:r>
      <w:r w:rsidR="000C1C25">
        <w:rPr>
          <w:rFonts w:ascii="Times New Roman" w:hAnsi="Times New Roman" w:cs="Times New Roman"/>
          <w:sz w:val="24"/>
          <w:szCs w:val="24"/>
        </w:rPr>
        <w:t>over the five year period</w:t>
      </w:r>
      <w:r w:rsidR="00473300">
        <w:rPr>
          <w:rFonts w:ascii="Times New Roman" w:hAnsi="Times New Roman" w:cs="Times New Roman"/>
          <w:sz w:val="24"/>
          <w:szCs w:val="24"/>
        </w:rPr>
        <w:t xml:space="preserve"> by 10.28%</w:t>
      </w:r>
      <w:r w:rsidR="00665C23">
        <w:rPr>
          <w:rFonts w:ascii="Times New Roman" w:hAnsi="Times New Roman" w:cs="Times New Roman"/>
          <w:sz w:val="24"/>
          <w:szCs w:val="24"/>
        </w:rPr>
        <w:t xml:space="preserve">. </w:t>
      </w:r>
      <w:r w:rsidR="000C1C25">
        <w:rPr>
          <w:rFonts w:ascii="Times New Roman" w:hAnsi="Times New Roman" w:cs="Times New Roman"/>
          <w:sz w:val="24"/>
          <w:szCs w:val="24"/>
        </w:rPr>
        <w:t xml:space="preserve">The </w:t>
      </w:r>
      <w:r w:rsidR="00473300">
        <w:rPr>
          <w:rFonts w:ascii="Times New Roman" w:hAnsi="Times New Roman" w:cs="Times New Roman"/>
          <w:sz w:val="24"/>
          <w:szCs w:val="24"/>
        </w:rPr>
        <w:t>increase in</w:t>
      </w:r>
      <w:r w:rsidR="000C1C25">
        <w:rPr>
          <w:rFonts w:ascii="Times New Roman" w:hAnsi="Times New Roman" w:cs="Times New Roman"/>
          <w:sz w:val="24"/>
          <w:szCs w:val="24"/>
        </w:rPr>
        <w:t xml:space="preserve"> consumption of energy was </w:t>
      </w:r>
      <w:r w:rsidR="006F05FA">
        <w:rPr>
          <w:rFonts w:ascii="Times New Roman" w:hAnsi="Times New Roman" w:cs="Times New Roman"/>
          <w:sz w:val="24"/>
          <w:szCs w:val="24"/>
        </w:rPr>
        <w:t xml:space="preserve">mainly </w:t>
      </w:r>
      <w:r w:rsidR="000C1C25">
        <w:rPr>
          <w:rFonts w:ascii="Times New Roman" w:hAnsi="Times New Roman" w:cs="Times New Roman"/>
          <w:sz w:val="24"/>
          <w:szCs w:val="24"/>
        </w:rPr>
        <w:t xml:space="preserve">attributed to the growing demand for electricity among </w:t>
      </w:r>
      <w:r w:rsidR="006F05FA">
        <w:rPr>
          <w:rFonts w:ascii="Times New Roman" w:hAnsi="Times New Roman" w:cs="Times New Roman"/>
          <w:sz w:val="24"/>
          <w:szCs w:val="24"/>
        </w:rPr>
        <w:t>domestic and commercial customers</w:t>
      </w:r>
      <w:r w:rsidR="00304335">
        <w:rPr>
          <w:rFonts w:ascii="Times New Roman" w:hAnsi="Times New Roman" w:cs="Times New Roman"/>
          <w:sz w:val="24"/>
          <w:szCs w:val="24"/>
        </w:rPr>
        <w:t xml:space="preserve">. </w:t>
      </w:r>
      <w:r w:rsidR="00147A4A">
        <w:rPr>
          <w:rFonts w:ascii="Times New Roman" w:hAnsi="Times New Roman" w:cs="Times New Roman"/>
          <w:sz w:val="24"/>
          <w:szCs w:val="24"/>
        </w:rPr>
        <w:t xml:space="preserve">On the basis of </w:t>
      </w:r>
      <w:r w:rsidR="00BC7FAC">
        <w:rPr>
          <w:rFonts w:ascii="Times New Roman" w:hAnsi="Times New Roman" w:cs="Times New Roman"/>
          <w:sz w:val="24"/>
          <w:szCs w:val="24"/>
        </w:rPr>
        <w:t xml:space="preserve">information </w:t>
      </w:r>
      <w:r w:rsidR="00147A4A">
        <w:rPr>
          <w:rFonts w:ascii="Times New Roman" w:hAnsi="Times New Roman" w:cs="Times New Roman"/>
          <w:sz w:val="24"/>
          <w:szCs w:val="24"/>
        </w:rPr>
        <w:t>obtained from business entit</w:t>
      </w:r>
      <w:r w:rsidR="00BC7FAC">
        <w:rPr>
          <w:rFonts w:ascii="Times New Roman" w:hAnsi="Times New Roman" w:cs="Times New Roman"/>
          <w:sz w:val="24"/>
          <w:szCs w:val="24"/>
        </w:rPr>
        <w:t xml:space="preserve">ies </w:t>
      </w:r>
      <w:r w:rsidR="00147A4A">
        <w:rPr>
          <w:rFonts w:ascii="Times New Roman" w:hAnsi="Times New Roman" w:cs="Times New Roman"/>
          <w:sz w:val="24"/>
          <w:szCs w:val="24"/>
        </w:rPr>
        <w:t>in Dominica</w:t>
      </w:r>
      <w:r w:rsidR="00BC7FAC">
        <w:rPr>
          <w:rFonts w:ascii="Times New Roman" w:hAnsi="Times New Roman" w:cs="Times New Roman"/>
          <w:sz w:val="24"/>
          <w:szCs w:val="24"/>
        </w:rPr>
        <w:t xml:space="preserve">, the sales of electric appliances primarily air condition units </w:t>
      </w:r>
      <w:r w:rsidR="00BC7FAC">
        <w:rPr>
          <w:rFonts w:ascii="Times New Roman" w:hAnsi="Times New Roman" w:cs="Times New Roman"/>
          <w:sz w:val="24"/>
          <w:szCs w:val="24"/>
        </w:rPr>
        <w:lastRenderedPageBreak/>
        <w:t>and refrigerators have increased steadily over the year.</w:t>
      </w:r>
      <w:r w:rsidR="00EE0710">
        <w:rPr>
          <w:rFonts w:ascii="Times New Roman" w:hAnsi="Times New Roman" w:cs="Times New Roman"/>
          <w:sz w:val="24"/>
          <w:szCs w:val="24"/>
        </w:rPr>
        <w:t xml:space="preserve"> </w:t>
      </w:r>
      <w:r w:rsidR="00BC7FAC">
        <w:rPr>
          <w:rFonts w:ascii="Times New Roman" w:hAnsi="Times New Roman" w:cs="Times New Roman"/>
          <w:sz w:val="24"/>
          <w:szCs w:val="24"/>
        </w:rPr>
        <w:t xml:space="preserve"> </w:t>
      </w:r>
      <w:r w:rsidR="00BC7FAC" w:rsidRPr="00BC7FAC">
        <w:rPr>
          <w:rFonts w:ascii="Times New Roman" w:hAnsi="Times New Roman" w:cs="Times New Roman"/>
          <w:sz w:val="24"/>
          <w:szCs w:val="24"/>
        </w:rPr>
        <w:t>More</w:t>
      </w:r>
      <w:r w:rsidR="00BC7FAC">
        <w:rPr>
          <w:rFonts w:ascii="Times New Roman" w:hAnsi="Times New Roman" w:cs="Times New Roman"/>
          <w:sz w:val="24"/>
          <w:szCs w:val="24"/>
        </w:rPr>
        <w:t>o</w:t>
      </w:r>
      <w:r w:rsidR="00BC7FAC" w:rsidRPr="00BC7FAC">
        <w:rPr>
          <w:rFonts w:ascii="Times New Roman" w:hAnsi="Times New Roman" w:cs="Times New Roman"/>
          <w:sz w:val="24"/>
          <w:szCs w:val="24"/>
        </w:rPr>
        <w:t>ver</w:t>
      </w:r>
      <w:r w:rsidR="00BC7FAC">
        <w:rPr>
          <w:rFonts w:ascii="Times New Roman" w:hAnsi="Times New Roman" w:cs="Times New Roman"/>
          <w:sz w:val="24"/>
          <w:szCs w:val="24"/>
        </w:rPr>
        <w:t xml:space="preserve">, the </w:t>
      </w:r>
      <w:r w:rsidR="00EE0710">
        <w:rPr>
          <w:rFonts w:ascii="Times New Roman" w:hAnsi="Times New Roman" w:cs="Times New Roman"/>
          <w:sz w:val="24"/>
          <w:szCs w:val="24"/>
        </w:rPr>
        <w:t xml:space="preserve">reduction in fuel cost on the global market </w:t>
      </w:r>
      <w:r w:rsidR="00665C23">
        <w:rPr>
          <w:rFonts w:ascii="Times New Roman" w:hAnsi="Times New Roman" w:cs="Times New Roman"/>
          <w:sz w:val="24"/>
          <w:szCs w:val="24"/>
        </w:rPr>
        <w:t xml:space="preserve">has a direct effect </w:t>
      </w:r>
      <w:r w:rsidR="007E211A">
        <w:rPr>
          <w:rFonts w:ascii="Times New Roman" w:hAnsi="Times New Roman" w:cs="Times New Roman"/>
          <w:sz w:val="24"/>
          <w:szCs w:val="24"/>
        </w:rPr>
        <w:t>at</w:t>
      </w:r>
      <w:r w:rsidR="00EE0710">
        <w:rPr>
          <w:rFonts w:ascii="Times New Roman" w:hAnsi="Times New Roman" w:cs="Times New Roman"/>
          <w:sz w:val="24"/>
          <w:szCs w:val="24"/>
        </w:rPr>
        <w:t xml:space="preserve"> lower</w:t>
      </w:r>
      <w:r w:rsidR="00665C23">
        <w:rPr>
          <w:rFonts w:ascii="Times New Roman" w:hAnsi="Times New Roman" w:cs="Times New Roman"/>
          <w:sz w:val="24"/>
          <w:szCs w:val="24"/>
        </w:rPr>
        <w:t>ing</w:t>
      </w:r>
      <w:r w:rsidR="00EE0710">
        <w:rPr>
          <w:rFonts w:ascii="Times New Roman" w:hAnsi="Times New Roman" w:cs="Times New Roman"/>
          <w:sz w:val="24"/>
          <w:szCs w:val="24"/>
        </w:rPr>
        <w:t xml:space="preserve"> fuel surcharge</w:t>
      </w:r>
      <w:r w:rsidR="00665C23">
        <w:rPr>
          <w:rFonts w:ascii="Times New Roman" w:hAnsi="Times New Roman" w:cs="Times New Roman"/>
          <w:sz w:val="24"/>
          <w:szCs w:val="24"/>
        </w:rPr>
        <w:t xml:space="preserve">.  </w:t>
      </w:r>
    </w:p>
    <w:p w:rsidR="00E72797" w:rsidRDefault="00E72797" w:rsidP="004138AE">
      <w:pPr>
        <w:pStyle w:val="NoSpacing"/>
        <w:jc w:val="both"/>
        <w:rPr>
          <w:rFonts w:ascii="Times New Roman" w:hAnsi="Times New Roman" w:cs="Times New Roman"/>
          <w:sz w:val="24"/>
          <w:szCs w:val="24"/>
        </w:rPr>
      </w:pPr>
    </w:p>
    <w:p w:rsidR="009C0B8A" w:rsidRDefault="008F5A83" w:rsidP="004138AE">
      <w:pPr>
        <w:pStyle w:val="NoSpacing"/>
        <w:jc w:val="both"/>
        <w:rPr>
          <w:rFonts w:ascii="Times New Roman" w:hAnsi="Times New Roman" w:cs="Times New Roman"/>
          <w:b/>
          <w:sz w:val="24"/>
          <w:szCs w:val="24"/>
        </w:rPr>
      </w:pPr>
      <w:r>
        <w:rPr>
          <w:rFonts w:ascii="Times New Roman" w:hAnsi="Times New Roman" w:cs="Times New Roman"/>
          <w:sz w:val="24"/>
          <w:szCs w:val="24"/>
        </w:rPr>
        <w:t>DOMLEC’s energy</w:t>
      </w:r>
      <w:r w:rsidR="006F05FA">
        <w:rPr>
          <w:rFonts w:ascii="Times New Roman" w:hAnsi="Times New Roman" w:cs="Times New Roman"/>
          <w:sz w:val="24"/>
          <w:szCs w:val="24"/>
        </w:rPr>
        <w:t xml:space="preserve"> </w:t>
      </w:r>
      <w:r>
        <w:rPr>
          <w:rFonts w:ascii="Times New Roman" w:hAnsi="Times New Roman" w:cs="Times New Roman"/>
          <w:sz w:val="24"/>
          <w:szCs w:val="24"/>
        </w:rPr>
        <w:t xml:space="preserve">sales </w:t>
      </w:r>
      <w:r w:rsidRPr="00E72797">
        <w:rPr>
          <w:rFonts w:ascii="Times New Roman" w:hAnsi="Times New Roman" w:cs="Times New Roman"/>
          <w:sz w:val="24"/>
          <w:szCs w:val="24"/>
        </w:rPr>
        <w:t>were</w:t>
      </w:r>
      <w:r w:rsidR="006F05FA" w:rsidRPr="00E72797">
        <w:rPr>
          <w:rFonts w:ascii="Times New Roman" w:hAnsi="Times New Roman" w:cs="Times New Roman"/>
          <w:sz w:val="24"/>
          <w:szCs w:val="24"/>
        </w:rPr>
        <w:t xml:space="preserve"> </w:t>
      </w:r>
      <w:r w:rsidR="00E72797" w:rsidRPr="00E72797">
        <w:rPr>
          <w:rFonts w:ascii="Times New Roman" w:hAnsi="Times New Roman" w:cs="Times New Roman"/>
          <w:sz w:val="24"/>
          <w:szCs w:val="24"/>
        </w:rPr>
        <w:t xml:space="preserve">lowest </w:t>
      </w:r>
      <w:r w:rsidR="006F05FA" w:rsidRPr="00E72797">
        <w:rPr>
          <w:rFonts w:ascii="Times New Roman" w:hAnsi="Times New Roman" w:cs="Times New Roman"/>
          <w:sz w:val="24"/>
          <w:szCs w:val="24"/>
        </w:rPr>
        <w:t>among</w:t>
      </w:r>
      <w:r w:rsidR="006F05FA">
        <w:rPr>
          <w:rFonts w:ascii="Times New Roman" w:hAnsi="Times New Roman" w:cs="Times New Roman"/>
          <w:sz w:val="24"/>
          <w:szCs w:val="24"/>
        </w:rPr>
        <w:t xml:space="preserve"> the three electric utilities</w:t>
      </w:r>
      <w:r w:rsidR="00D25B4C">
        <w:rPr>
          <w:rFonts w:ascii="Times New Roman" w:hAnsi="Times New Roman" w:cs="Times New Roman"/>
          <w:sz w:val="24"/>
          <w:szCs w:val="24"/>
        </w:rPr>
        <w:t xml:space="preserve"> in the OECS</w:t>
      </w:r>
      <w:r w:rsidR="006F05FA">
        <w:rPr>
          <w:rFonts w:ascii="Times New Roman" w:hAnsi="Times New Roman" w:cs="Times New Roman"/>
          <w:sz w:val="24"/>
          <w:szCs w:val="24"/>
        </w:rPr>
        <w:t xml:space="preserve">. This </w:t>
      </w:r>
      <w:r w:rsidR="00D25B4C">
        <w:rPr>
          <w:rFonts w:ascii="Times New Roman" w:hAnsi="Times New Roman" w:cs="Times New Roman"/>
          <w:sz w:val="24"/>
          <w:szCs w:val="24"/>
        </w:rPr>
        <w:t>is partly</w:t>
      </w:r>
      <w:r w:rsidR="006F05FA">
        <w:rPr>
          <w:rFonts w:ascii="Times New Roman" w:hAnsi="Times New Roman" w:cs="Times New Roman"/>
          <w:sz w:val="24"/>
          <w:szCs w:val="24"/>
        </w:rPr>
        <w:t xml:space="preserve"> because </w:t>
      </w:r>
      <w:r>
        <w:rPr>
          <w:rFonts w:ascii="Times New Roman" w:hAnsi="Times New Roman" w:cs="Times New Roman"/>
          <w:sz w:val="24"/>
          <w:szCs w:val="24"/>
        </w:rPr>
        <w:t xml:space="preserve">the company’s </w:t>
      </w:r>
      <w:r w:rsidR="007E211A">
        <w:rPr>
          <w:rFonts w:ascii="Times New Roman" w:hAnsi="Times New Roman" w:cs="Times New Roman"/>
          <w:sz w:val="24"/>
          <w:szCs w:val="24"/>
        </w:rPr>
        <w:t>customer</w:t>
      </w:r>
      <w:r>
        <w:rPr>
          <w:rFonts w:ascii="Times New Roman" w:hAnsi="Times New Roman" w:cs="Times New Roman"/>
          <w:sz w:val="24"/>
          <w:szCs w:val="24"/>
        </w:rPr>
        <w:t xml:space="preserve"> base is</w:t>
      </w:r>
      <w:r w:rsidR="00D25B4C">
        <w:rPr>
          <w:rFonts w:ascii="Times New Roman" w:hAnsi="Times New Roman" w:cs="Times New Roman"/>
          <w:sz w:val="24"/>
          <w:szCs w:val="24"/>
        </w:rPr>
        <w:t xml:space="preserve"> rather </w:t>
      </w:r>
      <w:r>
        <w:rPr>
          <w:rFonts w:ascii="Times New Roman" w:hAnsi="Times New Roman" w:cs="Times New Roman"/>
          <w:sz w:val="24"/>
          <w:szCs w:val="24"/>
        </w:rPr>
        <w:t>smaller when</w:t>
      </w:r>
      <w:r w:rsidR="00875737">
        <w:rPr>
          <w:rFonts w:ascii="Times New Roman" w:hAnsi="Times New Roman" w:cs="Times New Roman"/>
          <w:sz w:val="24"/>
          <w:szCs w:val="24"/>
        </w:rPr>
        <w:t xml:space="preserve"> com</w:t>
      </w:r>
      <w:r>
        <w:rPr>
          <w:rFonts w:ascii="Times New Roman" w:hAnsi="Times New Roman" w:cs="Times New Roman"/>
          <w:sz w:val="24"/>
          <w:szCs w:val="24"/>
        </w:rPr>
        <w:t xml:space="preserve">pared to </w:t>
      </w:r>
      <w:r w:rsidR="00065841">
        <w:rPr>
          <w:rFonts w:ascii="Times New Roman" w:hAnsi="Times New Roman" w:cs="Times New Roman"/>
          <w:sz w:val="24"/>
          <w:szCs w:val="24"/>
        </w:rPr>
        <w:t xml:space="preserve">LUCELEC and GRENLEC.  Furthermore, </w:t>
      </w:r>
      <w:r w:rsidR="007E211A">
        <w:rPr>
          <w:rFonts w:ascii="Times New Roman" w:hAnsi="Times New Roman" w:cs="Times New Roman"/>
          <w:sz w:val="24"/>
          <w:szCs w:val="24"/>
        </w:rPr>
        <w:t>the level</w:t>
      </w:r>
      <w:r w:rsidR="00D25B4C">
        <w:rPr>
          <w:rFonts w:ascii="Times New Roman" w:hAnsi="Times New Roman" w:cs="Times New Roman"/>
          <w:sz w:val="24"/>
          <w:szCs w:val="24"/>
        </w:rPr>
        <w:t xml:space="preserve"> of economic activit</w:t>
      </w:r>
      <w:r w:rsidR="00E72797">
        <w:rPr>
          <w:rFonts w:ascii="Times New Roman" w:hAnsi="Times New Roman" w:cs="Times New Roman"/>
          <w:sz w:val="24"/>
          <w:szCs w:val="24"/>
        </w:rPr>
        <w:t>y</w:t>
      </w:r>
      <w:r w:rsidR="00D25B4C">
        <w:rPr>
          <w:rFonts w:ascii="Times New Roman" w:hAnsi="Times New Roman" w:cs="Times New Roman"/>
          <w:sz w:val="24"/>
          <w:szCs w:val="24"/>
        </w:rPr>
        <w:t xml:space="preserve"> in St Lucia and Grenada is </w:t>
      </w:r>
      <w:r w:rsidR="00E72797">
        <w:rPr>
          <w:rFonts w:ascii="Times New Roman" w:hAnsi="Times New Roman" w:cs="Times New Roman"/>
          <w:sz w:val="24"/>
          <w:szCs w:val="24"/>
        </w:rPr>
        <w:t xml:space="preserve">higher than </w:t>
      </w:r>
      <w:r w:rsidR="00E72797" w:rsidRPr="00E72797">
        <w:rPr>
          <w:rFonts w:ascii="Times New Roman" w:hAnsi="Times New Roman" w:cs="Times New Roman"/>
          <w:sz w:val="24"/>
          <w:szCs w:val="24"/>
        </w:rPr>
        <w:t>in</w:t>
      </w:r>
      <w:r w:rsidR="00EE7493" w:rsidRPr="00E72797">
        <w:rPr>
          <w:rFonts w:ascii="Times New Roman" w:hAnsi="Times New Roman" w:cs="Times New Roman"/>
          <w:sz w:val="24"/>
          <w:szCs w:val="24"/>
        </w:rPr>
        <w:t xml:space="preserve"> Dominica.</w:t>
      </w:r>
      <w:r w:rsidR="000E2974">
        <w:rPr>
          <w:rFonts w:ascii="Times New Roman" w:hAnsi="Times New Roman" w:cs="Times New Roman"/>
          <w:sz w:val="24"/>
          <w:szCs w:val="24"/>
        </w:rPr>
        <w:t xml:space="preserve"> As can be s</w:t>
      </w:r>
      <w:r w:rsidR="007E211A">
        <w:rPr>
          <w:rFonts w:ascii="Times New Roman" w:hAnsi="Times New Roman" w:cs="Times New Roman"/>
          <w:sz w:val="24"/>
          <w:szCs w:val="24"/>
        </w:rPr>
        <w:t>een,</w:t>
      </w:r>
      <w:r w:rsidR="00EE7493">
        <w:rPr>
          <w:rFonts w:ascii="Times New Roman" w:hAnsi="Times New Roman" w:cs="Times New Roman"/>
          <w:sz w:val="24"/>
          <w:szCs w:val="24"/>
        </w:rPr>
        <w:t xml:space="preserve"> </w:t>
      </w:r>
      <w:r w:rsidR="00065841">
        <w:rPr>
          <w:rFonts w:ascii="Times New Roman" w:hAnsi="Times New Roman" w:cs="Times New Roman"/>
          <w:sz w:val="24"/>
          <w:szCs w:val="24"/>
        </w:rPr>
        <w:t>e</w:t>
      </w:r>
      <w:r w:rsidR="00875737">
        <w:rPr>
          <w:rFonts w:ascii="Times New Roman" w:hAnsi="Times New Roman" w:cs="Times New Roman"/>
          <w:sz w:val="24"/>
          <w:szCs w:val="24"/>
        </w:rPr>
        <w:t>nergy demand among commercial</w:t>
      </w:r>
      <w:r w:rsidR="000E2974">
        <w:rPr>
          <w:rFonts w:ascii="Times New Roman" w:hAnsi="Times New Roman" w:cs="Times New Roman"/>
          <w:sz w:val="24"/>
          <w:szCs w:val="24"/>
        </w:rPr>
        <w:t xml:space="preserve"> and industrial </w:t>
      </w:r>
      <w:r>
        <w:rPr>
          <w:rFonts w:ascii="Times New Roman" w:hAnsi="Times New Roman" w:cs="Times New Roman"/>
          <w:sz w:val="24"/>
          <w:szCs w:val="24"/>
        </w:rPr>
        <w:t>customers in</w:t>
      </w:r>
      <w:r w:rsidR="000E2974">
        <w:rPr>
          <w:rFonts w:ascii="Times New Roman" w:hAnsi="Times New Roman" w:cs="Times New Roman"/>
          <w:sz w:val="24"/>
          <w:szCs w:val="24"/>
        </w:rPr>
        <w:t xml:space="preserve"> LUCECLEC and GRENLEC was </w:t>
      </w:r>
      <w:r w:rsidR="00E72797">
        <w:rPr>
          <w:rFonts w:ascii="Times New Roman" w:hAnsi="Times New Roman" w:cs="Times New Roman"/>
          <w:sz w:val="24"/>
          <w:szCs w:val="24"/>
        </w:rPr>
        <w:t>much higher than</w:t>
      </w:r>
      <w:r w:rsidR="000E2974">
        <w:rPr>
          <w:rFonts w:ascii="Times New Roman" w:hAnsi="Times New Roman" w:cs="Times New Roman"/>
          <w:sz w:val="24"/>
          <w:szCs w:val="24"/>
        </w:rPr>
        <w:t xml:space="preserve"> DOMLEC’s figures</w:t>
      </w:r>
      <w:r>
        <w:rPr>
          <w:rFonts w:ascii="Times New Roman" w:hAnsi="Times New Roman" w:cs="Times New Roman"/>
          <w:sz w:val="24"/>
          <w:szCs w:val="24"/>
        </w:rPr>
        <w:t>.</w:t>
      </w:r>
      <w:r w:rsidR="000E2974">
        <w:rPr>
          <w:rFonts w:ascii="Times New Roman" w:hAnsi="Times New Roman" w:cs="Times New Roman"/>
          <w:sz w:val="24"/>
          <w:szCs w:val="24"/>
        </w:rPr>
        <w:t xml:space="preserve">  </w:t>
      </w:r>
      <w:r w:rsidR="007E211A">
        <w:rPr>
          <w:rFonts w:ascii="Times New Roman" w:hAnsi="Times New Roman" w:cs="Times New Roman"/>
          <w:sz w:val="24"/>
          <w:szCs w:val="24"/>
        </w:rPr>
        <w:t>However, further analy</w:t>
      </w:r>
      <w:r w:rsidR="00771F04">
        <w:rPr>
          <w:rFonts w:ascii="Times New Roman" w:hAnsi="Times New Roman" w:cs="Times New Roman"/>
          <w:sz w:val="24"/>
          <w:szCs w:val="24"/>
        </w:rPr>
        <w:t>sis shows that DOMLEC’s energy sales</w:t>
      </w:r>
      <w:r w:rsidR="00EE7493">
        <w:rPr>
          <w:rFonts w:ascii="Times New Roman" w:hAnsi="Times New Roman" w:cs="Times New Roman"/>
          <w:sz w:val="24"/>
          <w:szCs w:val="24"/>
        </w:rPr>
        <w:t xml:space="preserve"> grew at a </w:t>
      </w:r>
      <w:r w:rsidR="00E72797">
        <w:rPr>
          <w:rFonts w:ascii="Times New Roman" w:hAnsi="Times New Roman" w:cs="Times New Roman"/>
          <w:sz w:val="24"/>
          <w:szCs w:val="24"/>
        </w:rPr>
        <w:t>faster ra</w:t>
      </w:r>
      <w:r w:rsidR="00EE7493">
        <w:rPr>
          <w:rFonts w:ascii="Times New Roman" w:hAnsi="Times New Roman" w:cs="Times New Roman"/>
          <w:sz w:val="24"/>
          <w:szCs w:val="24"/>
        </w:rPr>
        <w:t>te</w:t>
      </w:r>
      <w:r w:rsidR="00E72797">
        <w:rPr>
          <w:rFonts w:ascii="Times New Roman" w:hAnsi="Times New Roman" w:cs="Times New Roman"/>
          <w:sz w:val="24"/>
          <w:szCs w:val="24"/>
        </w:rPr>
        <w:t xml:space="preserve">, </w:t>
      </w:r>
      <w:r w:rsidR="00EE7493">
        <w:rPr>
          <w:rFonts w:ascii="Times New Roman" w:hAnsi="Times New Roman" w:cs="Times New Roman"/>
          <w:sz w:val="24"/>
          <w:szCs w:val="24"/>
        </w:rPr>
        <w:t>5.3</w:t>
      </w:r>
      <w:r w:rsidR="007E211A">
        <w:rPr>
          <w:rFonts w:ascii="Times New Roman" w:hAnsi="Times New Roman" w:cs="Times New Roman"/>
          <w:sz w:val="24"/>
          <w:szCs w:val="24"/>
        </w:rPr>
        <w:t>7%</w:t>
      </w:r>
      <w:r w:rsidR="00E72797">
        <w:rPr>
          <w:rFonts w:ascii="Times New Roman" w:hAnsi="Times New Roman" w:cs="Times New Roman"/>
          <w:sz w:val="24"/>
          <w:szCs w:val="24"/>
        </w:rPr>
        <w:t>,</w:t>
      </w:r>
      <w:r w:rsidR="007E211A">
        <w:rPr>
          <w:rFonts w:ascii="Times New Roman" w:hAnsi="Times New Roman" w:cs="Times New Roman"/>
          <w:sz w:val="24"/>
          <w:szCs w:val="24"/>
        </w:rPr>
        <w:t xml:space="preserve"> in relation to</w:t>
      </w:r>
      <w:r w:rsidR="00EE7493">
        <w:rPr>
          <w:rFonts w:ascii="Times New Roman" w:hAnsi="Times New Roman" w:cs="Times New Roman"/>
          <w:sz w:val="24"/>
          <w:szCs w:val="24"/>
        </w:rPr>
        <w:t xml:space="preserve"> LUCELC</w:t>
      </w:r>
      <w:r w:rsidR="00E72797">
        <w:rPr>
          <w:rFonts w:ascii="Times New Roman" w:hAnsi="Times New Roman" w:cs="Times New Roman"/>
          <w:sz w:val="24"/>
          <w:szCs w:val="24"/>
        </w:rPr>
        <w:t>’s</w:t>
      </w:r>
      <w:r w:rsidR="00EE7493">
        <w:rPr>
          <w:rFonts w:ascii="Times New Roman" w:hAnsi="Times New Roman" w:cs="Times New Roman"/>
          <w:sz w:val="24"/>
          <w:szCs w:val="24"/>
        </w:rPr>
        <w:t xml:space="preserve"> 1.48% and </w:t>
      </w:r>
      <w:r w:rsidR="00EE7493" w:rsidRPr="00E72797">
        <w:rPr>
          <w:rFonts w:ascii="Times New Roman" w:hAnsi="Times New Roman" w:cs="Times New Roman"/>
          <w:sz w:val="24"/>
          <w:szCs w:val="24"/>
        </w:rPr>
        <w:t>GRENLEC</w:t>
      </w:r>
      <w:r w:rsidR="00E72797" w:rsidRPr="00E72797">
        <w:rPr>
          <w:rFonts w:ascii="Times New Roman" w:hAnsi="Times New Roman" w:cs="Times New Roman"/>
          <w:sz w:val="24"/>
          <w:szCs w:val="24"/>
        </w:rPr>
        <w:t>’s</w:t>
      </w:r>
      <w:r w:rsidR="00EE7493" w:rsidRPr="00E72797">
        <w:rPr>
          <w:rFonts w:ascii="Times New Roman" w:hAnsi="Times New Roman" w:cs="Times New Roman"/>
          <w:sz w:val="24"/>
          <w:szCs w:val="24"/>
        </w:rPr>
        <w:t xml:space="preserve"> 3.14% respectively</w:t>
      </w:r>
      <w:r w:rsidR="007E211A" w:rsidRPr="00E72797">
        <w:rPr>
          <w:rFonts w:ascii="Times New Roman" w:hAnsi="Times New Roman" w:cs="Times New Roman"/>
          <w:sz w:val="24"/>
          <w:szCs w:val="24"/>
        </w:rPr>
        <w:t xml:space="preserve"> from 2012 to 2015.</w:t>
      </w:r>
    </w:p>
    <w:p w:rsidR="00B74398" w:rsidRDefault="00B74398" w:rsidP="00B7439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F1EFA" w:rsidRPr="000F1EFA" w:rsidRDefault="000F1EFA" w:rsidP="00D72ABE">
      <w:pPr>
        <w:pStyle w:val="Heading1"/>
        <w:rPr>
          <w:rFonts w:ascii="Times New Roman" w:hAnsi="Times New Roman" w:cs="Times New Roman"/>
          <w:color w:val="auto"/>
          <w:sz w:val="24"/>
          <w:szCs w:val="24"/>
          <w:u w:val="single"/>
        </w:rPr>
      </w:pPr>
      <w:bookmarkStart w:id="28" w:name="_Toc485128759"/>
      <w:r>
        <w:rPr>
          <w:rFonts w:ascii="Times New Roman" w:hAnsi="Times New Roman" w:cs="Times New Roman"/>
          <w:color w:val="auto"/>
          <w:sz w:val="24"/>
          <w:szCs w:val="24"/>
        </w:rPr>
        <w:lastRenderedPageBreak/>
        <w:t xml:space="preserve"> </w:t>
      </w:r>
      <w:r w:rsidRPr="000F1EFA">
        <w:rPr>
          <w:rFonts w:ascii="Times New Roman" w:hAnsi="Times New Roman" w:cs="Times New Roman"/>
          <w:color w:val="auto"/>
          <w:sz w:val="24"/>
          <w:szCs w:val="24"/>
          <w:u w:val="single"/>
        </w:rPr>
        <w:t>5.0 SECTION TWO</w:t>
      </w:r>
    </w:p>
    <w:p w:rsidR="00B74398" w:rsidRPr="00A55544" w:rsidRDefault="00D13894" w:rsidP="00D72ABE">
      <w:pPr>
        <w:pStyle w:val="Heading1"/>
        <w:rPr>
          <w:rFonts w:ascii="Times New Roman" w:hAnsi="Times New Roman" w:cs="Times New Roman"/>
          <w:color w:val="auto"/>
          <w:sz w:val="24"/>
          <w:szCs w:val="24"/>
        </w:rPr>
      </w:pPr>
      <w:r>
        <w:rPr>
          <w:rFonts w:ascii="Times New Roman" w:hAnsi="Times New Roman" w:cs="Times New Roman"/>
          <w:color w:val="auto"/>
          <w:sz w:val="24"/>
          <w:szCs w:val="24"/>
        </w:rPr>
        <w:t>5</w:t>
      </w:r>
      <w:r w:rsidR="006807F4">
        <w:rPr>
          <w:rFonts w:ascii="Times New Roman" w:hAnsi="Times New Roman" w:cs="Times New Roman"/>
          <w:color w:val="auto"/>
          <w:sz w:val="24"/>
          <w:szCs w:val="24"/>
        </w:rPr>
        <w:t>.</w:t>
      </w:r>
      <w:r w:rsidR="000F1EFA">
        <w:rPr>
          <w:rFonts w:ascii="Times New Roman" w:hAnsi="Times New Roman" w:cs="Times New Roman"/>
          <w:color w:val="auto"/>
          <w:sz w:val="24"/>
          <w:szCs w:val="24"/>
        </w:rPr>
        <w:t>1</w:t>
      </w:r>
      <w:r w:rsidR="00B74398" w:rsidRPr="00A55544">
        <w:rPr>
          <w:rFonts w:ascii="Times New Roman" w:hAnsi="Times New Roman" w:cs="Times New Roman"/>
          <w:color w:val="auto"/>
          <w:sz w:val="24"/>
          <w:szCs w:val="24"/>
        </w:rPr>
        <w:t xml:space="preserve"> </w:t>
      </w:r>
      <w:r w:rsidR="00B74398" w:rsidRPr="00A55544">
        <w:rPr>
          <w:rFonts w:ascii="Times New Roman" w:hAnsi="Times New Roman" w:cs="Times New Roman"/>
          <w:color w:val="auto"/>
          <w:sz w:val="24"/>
          <w:szCs w:val="24"/>
          <w:u w:val="single"/>
        </w:rPr>
        <w:t>GENERATION</w:t>
      </w:r>
      <w:bookmarkEnd w:id="28"/>
    </w:p>
    <w:p w:rsidR="00B74398" w:rsidRDefault="00B74398" w:rsidP="00B74398">
      <w:pPr>
        <w:rPr>
          <w:rFonts w:ascii="Times New Roman" w:hAnsi="Times New Roman" w:cs="Times New Roman"/>
          <w:sz w:val="24"/>
          <w:szCs w:val="24"/>
        </w:rPr>
      </w:pPr>
    </w:p>
    <w:p w:rsidR="00B74398" w:rsidRPr="00A76555" w:rsidRDefault="00CF4E11" w:rsidP="00D72ABE">
      <w:pPr>
        <w:pStyle w:val="NoSpacing"/>
        <w:tabs>
          <w:tab w:val="left" w:pos="360"/>
        </w:tabs>
        <w:jc w:val="both"/>
        <w:outlineLvl w:val="1"/>
        <w:rPr>
          <w:rFonts w:ascii="Times New Roman" w:hAnsi="Times New Roman" w:cs="Times New Roman"/>
          <w:sz w:val="24"/>
          <w:szCs w:val="24"/>
        </w:rPr>
      </w:pPr>
      <w:bookmarkStart w:id="29" w:name="_Toc485128760"/>
      <w:r>
        <w:rPr>
          <w:rFonts w:ascii="Times New Roman" w:hAnsi="Times New Roman" w:cs="Times New Roman"/>
          <w:b/>
          <w:sz w:val="24"/>
          <w:szCs w:val="24"/>
        </w:rPr>
        <w:t>a</w:t>
      </w:r>
      <w:r w:rsidR="00B74398">
        <w:rPr>
          <w:rFonts w:ascii="Times New Roman" w:hAnsi="Times New Roman" w:cs="Times New Roman"/>
          <w:b/>
          <w:sz w:val="24"/>
          <w:szCs w:val="24"/>
        </w:rPr>
        <w:t xml:space="preserve">. </w:t>
      </w:r>
      <w:r w:rsidR="00B74398" w:rsidRPr="00A76555">
        <w:rPr>
          <w:rFonts w:ascii="Times New Roman" w:hAnsi="Times New Roman" w:cs="Times New Roman"/>
          <w:b/>
          <w:sz w:val="24"/>
          <w:szCs w:val="24"/>
        </w:rPr>
        <w:t>Total Installed</w:t>
      </w:r>
      <w:r w:rsidR="00B74398">
        <w:rPr>
          <w:rFonts w:ascii="Times New Roman" w:hAnsi="Times New Roman" w:cs="Times New Roman"/>
          <w:b/>
          <w:sz w:val="24"/>
          <w:szCs w:val="24"/>
        </w:rPr>
        <w:t xml:space="preserve"> Generation Capacity including d</w:t>
      </w:r>
      <w:r w:rsidR="00B74398" w:rsidRPr="00A76555">
        <w:rPr>
          <w:rFonts w:ascii="Times New Roman" w:hAnsi="Times New Roman" w:cs="Times New Roman"/>
          <w:b/>
          <w:sz w:val="24"/>
          <w:szCs w:val="24"/>
        </w:rPr>
        <w:t>istributed RE</w:t>
      </w:r>
      <w:bookmarkEnd w:id="29"/>
    </w:p>
    <w:p w:rsidR="00B74398" w:rsidRPr="00FA0ED7" w:rsidRDefault="00B74398" w:rsidP="00B74398">
      <w:pPr>
        <w:pStyle w:val="NoSpacing"/>
        <w:jc w:val="both"/>
        <w:rPr>
          <w:rFonts w:ascii="Times New Roman" w:hAnsi="Times New Roman" w:cs="Times New Roman"/>
        </w:rPr>
      </w:pPr>
    </w:p>
    <w:p w:rsidR="00B74398" w:rsidRDefault="00B74398" w:rsidP="00B74398">
      <w:pPr>
        <w:pStyle w:val="NoSpacing"/>
        <w:jc w:val="both"/>
        <w:rPr>
          <w:rFonts w:ascii="Times New Roman" w:hAnsi="Times New Roman" w:cs="Times New Roman"/>
          <w:sz w:val="24"/>
          <w:szCs w:val="24"/>
        </w:rPr>
      </w:pPr>
      <w:r w:rsidRPr="00865FA8">
        <w:rPr>
          <w:rFonts w:ascii="Times New Roman" w:hAnsi="Times New Roman" w:cs="Times New Roman"/>
          <w:noProof/>
          <w:sz w:val="24"/>
          <w:szCs w:val="24"/>
        </w:rPr>
        <w:drawing>
          <wp:inline distT="0" distB="0" distL="0" distR="0">
            <wp:extent cx="6005593" cy="1976033"/>
            <wp:effectExtent l="0" t="0" r="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4398" w:rsidRDefault="00B74398" w:rsidP="00B74398"/>
    <w:p w:rsidR="00B74398" w:rsidRPr="00E55528" w:rsidRDefault="008128F7" w:rsidP="00F20AD5">
      <w:pPr>
        <w:rPr>
          <w:rFonts w:ascii="Times New Roman" w:hAnsi="Times New Roman" w:cs="Times New Roman"/>
          <w:sz w:val="24"/>
          <w:szCs w:val="24"/>
        </w:rPr>
      </w:pPr>
      <w:r>
        <w:rPr>
          <w:rFonts w:ascii="Times New Roman" w:hAnsi="Times New Roman" w:cs="Times New Roman"/>
          <w:sz w:val="24"/>
          <w:szCs w:val="24"/>
        </w:rPr>
        <w:t>Figure 1</w:t>
      </w:r>
      <w:r w:rsidR="00B74398" w:rsidRPr="00E55528">
        <w:rPr>
          <w:rFonts w:ascii="Times New Roman" w:hAnsi="Times New Roman" w:cs="Times New Roman"/>
          <w:sz w:val="24"/>
          <w:szCs w:val="24"/>
        </w:rPr>
        <w:t xml:space="preserve"> above depicts the total installed generation capacity which is the sum of DOMLEC’s total generation provision and that of the entire grid connected RE systems that are licensed.</w:t>
      </w:r>
    </w:p>
    <w:p w:rsidR="00B74398" w:rsidRPr="00E55528" w:rsidRDefault="00B74398" w:rsidP="00F20AD5">
      <w:pPr>
        <w:rPr>
          <w:rFonts w:ascii="Times New Roman" w:hAnsi="Times New Roman" w:cs="Times New Roman"/>
        </w:rPr>
      </w:pPr>
    </w:p>
    <w:p w:rsidR="00B74398" w:rsidRPr="00E55528" w:rsidRDefault="00B74398" w:rsidP="00F20AD5">
      <w:pPr>
        <w:tabs>
          <w:tab w:val="left" w:pos="270"/>
          <w:tab w:val="left" w:pos="360"/>
        </w:tabs>
        <w:rPr>
          <w:rFonts w:ascii="Times New Roman" w:hAnsi="Times New Roman" w:cs="Times New Roman"/>
          <w:sz w:val="24"/>
          <w:szCs w:val="24"/>
        </w:rPr>
      </w:pPr>
      <w:r w:rsidRPr="00E55528">
        <w:rPr>
          <w:rFonts w:ascii="Times New Roman" w:hAnsi="Times New Roman" w:cs="Times New Roman"/>
          <w:sz w:val="24"/>
          <w:szCs w:val="24"/>
        </w:rPr>
        <w:t>DOMLEC’s reported total installe</w:t>
      </w:r>
      <w:r w:rsidR="007279E9">
        <w:rPr>
          <w:rFonts w:ascii="Times New Roman" w:hAnsi="Times New Roman" w:cs="Times New Roman"/>
          <w:sz w:val="24"/>
          <w:szCs w:val="24"/>
        </w:rPr>
        <w:t>d generation capacity remained</w:t>
      </w:r>
      <w:r w:rsidRPr="00E55528">
        <w:rPr>
          <w:rFonts w:ascii="Times New Roman" w:hAnsi="Times New Roman" w:cs="Times New Roman"/>
          <w:sz w:val="24"/>
          <w:szCs w:val="24"/>
        </w:rPr>
        <w:t xml:space="preserve"> at 26,740 kW</w:t>
      </w:r>
      <w:r w:rsidR="00B2318B">
        <w:rPr>
          <w:rFonts w:ascii="Times New Roman" w:hAnsi="Times New Roman" w:cs="Times New Roman"/>
          <w:sz w:val="24"/>
          <w:szCs w:val="24"/>
        </w:rPr>
        <w:t xml:space="preserve"> throughout the five year period</w:t>
      </w:r>
      <w:r w:rsidRPr="00E55528">
        <w:rPr>
          <w:rFonts w:ascii="Times New Roman" w:hAnsi="Times New Roman" w:cs="Times New Roman"/>
          <w:sz w:val="24"/>
          <w:szCs w:val="24"/>
        </w:rPr>
        <w:t>.</w:t>
      </w:r>
      <w:r w:rsidR="00B2318B">
        <w:rPr>
          <w:rFonts w:ascii="Times New Roman" w:hAnsi="Times New Roman" w:cs="Times New Roman"/>
          <w:sz w:val="24"/>
          <w:szCs w:val="24"/>
        </w:rPr>
        <w:t xml:space="preserve"> The licensed distributed RE installed capacity for each year is stated below.</w:t>
      </w:r>
    </w:p>
    <w:p w:rsidR="00B74398" w:rsidRDefault="00B74398" w:rsidP="00B74398">
      <w:pPr>
        <w:tabs>
          <w:tab w:val="left" w:pos="270"/>
          <w:tab w:val="left" w:pos="360"/>
        </w:tabs>
        <w:rPr>
          <w:sz w:val="24"/>
          <w:szCs w:val="24"/>
        </w:rPr>
      </w:pPr>
    </w:p>
    <w:p w:rsidR="00CF4E11" w:rsidRPr="00E5087D" w:rsidRDefault="00CF4E11" w:rsidP="00CF4E11">
      <w:pPr>
        <w:pStyle w:val="ListParagraph"/>
        <w:ind w:left="0"/>
        <w:outlineLvl w:val="1"/>
        <w:rPr>
          <w:rFonts w:ascii="Times New Roman" w:hAnsi="Times New Roman" w:cs="Times New Roman"/>
          <w:sz w:val="24"/>
          <w:szCs w:val="24"/>
        </w:rPr>
      </w:pPr>
      <w:bookmarkStart w:id="30" w:name="_Toc485128761"/>
      <w:r>
        <w:rPr>
          <w:rFonts w:ascii="Times New Roman" w:hAnsi="Times New Roman" w:cs="Times New Roman"/>
          <w:b/>
          <w:sz w:val="24"/>
          <w:szCs w:val="24"/>
        </w:rPr>
        <w:t>b.</w:t>
      </w:r>
      <w:r w:rsidRPr="00E5087D">
        <w:rPr>
          <w:rFonts w:ascii="Times New Roman" w:hAnsi="Times New Roman" w:cs="Times New Roman"/>
          <w:b/>
          <w:sz w:val="24"/>
          <w:szCs w:val="24"/>
        </w:rPr>
        <w:t xml:space="preserve"> Distributed RE Installed Capacity</w:t>
      </w:r>
      <w:bookmarkEnd w:id="30"/>
    </w:p>
    <w:p w:rsidR="00CF4E11" w:rsidRPr="00FA0ED7" w:rsidRDefault="00CF4E11" w:rsidP="00CF4E11">
      <w:pPr>
        <w:rPr>
          <w:rFonts w:ascii="Times New Roman" w:hAnsi="Times New Roman" w:cs="Times New Roman"/>
        </w:rPr>
      </w:pPr>
    </w:p>
    <w:p w:rsidR="00CF4E11" w:rsidRDefault="00CF4E11" w:rsidP="00CF4E11">
      <w:pPr>
        <w:rPr>
          <w:rFonts w:ascii="Times New Roman" w:hAnsi="Times New Roman" w:cs="Times New Roman"/>
          <w:sz w:val="24"/>
          <w:szCs w:val="24"/>
        </w:rPr>
      </w:pPr>
      <w:r w:rsidRPr="00E5087D">
        <w:rPr>
          <w:rFonts w:ascii="Times New Roman" w:hAnsi="Times New Roman" w:cs="Times New Roman"/>
          <w:sz w:val="24"/>
          <w:szCs w:val="24"/>
        </w:rPr>
        <w:t>The graph below depicts the distributed RE Installed (cumulativ</w:t>
      </w:r>
      <w:r w:rsidR="007279E9">
        <w:rPr>
          <w:rFonts w:ascii="Times New Roman" w:hAnsi="Times New Roman" w:cs="Times New Roman"/>
          <w:sz w:val="24"/>
          <w:szCs w:val="24"/>
        </w:rPr>
        <w:t>e) capacity over the five</w:t>
      </w:r>
      <w:r w:rsidR="00201DC1">
        <w:rPr>
          <w:rFonts w:ascii="Times New Roman" w:hAnsi="Times New Roman" w:cs="Times New Roman"/>
          <w:sz w:val="24"/>
          <w:szCs w:val="24"/>
        </w:rPr>
        <w:t xml:space="preserve"> </w:t>
      </w:r>
      <w:r w:rsidR="007279E9">
        <w:rPr>
          <w:rFonts w:ascii="Times New Roman" w:hAnsi="Times New Roman" w:cs="Times New Roman"/>
          <w:sz w:val="24"/>
          <w:szCs w:val="24"/>
        </w:rPr>
        <w:t>year period with</w:t>
      </w:r>
      <w:r w:rsidRPr="00E5087D">
        <w:rPr>
          <w:rFonts w:ascii="Times New Roman" w:hAnsi="Times New Roman" w:cs="Times New Roman"/>
          <w:sz w:val="24"/>
          <w:szCs w:val="24"/>
        </w:rPr>
        <w:t xml:space="preserve"> percentage increases over the previous year</w:t>
      </w:r>
      <w:r w:rsidR="007279E9">
        <w:rPr>
          <w:rFonts w:ascii="Times New Roman" w:hAnsi="Times New Roman" w:cs="Times New Roman"/>
          <w:sz w:val="24"/>
          <w:szCs w:val="24"/>
        </w:rPr>
        <w:t>.</w:t>
      </w:r>
    </w:p>
    <w:p w:rsidR="00CF4E11" w:rsidRDefault="00CF4E11" w:rsidP="00CF4E11">
      <w:pPr>
        <w:rPr>
          <w:rFonts w:ascii="Times New Roman" w:hAnsi="Times New Roman" w:cs="Times New Roman"/>
          <w:sz w:val="24"/>
          <w:szCs w:val="24"/>
        </w:rPr>
      </w:pPr>
    </w:p>
    <w:p w:rsidR="00CF4E11" w:rsidRPr="00FA0ED7" w:rsidRDefault="00CF4E11" w:rsidP="00CF4E11">
      <w:pPr>
        <w:rPr>
          <w:rFonts w:ascii="Times New Roman" w:hAnsi="Times New Roman" w:cs="Times New Roman"/>
        </w:rPr>
      </w:pPr>
      <w:r w:rsidRPr="006F0A80">
        <w:rPr>
          <w:rFonts w:ascii="Times New Roman" w:hAnsi="Times New Roman" w:cs="Times New Roman"/>
          <w:noProof/>
        </w:rPr>
        <w:drawing>
          <wp:inline distT="0" distB="0" distL="0" distR="0">
            <wp:extent cx="5557962" cy="2862470"/>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4E11" w:rsidRDefault="00CF4E11" w:rsidP="00CF4E11">
      <w:pPr>
        <w:rPr>
          <w:rFonts w:ascii="Times New Roman" w:hAnsi="Times New Roman" w:cs="Times New Roman"/>
        </w:rPr>
      </w:pPr>
    </w:p>
    <w:p w:rsidR="00F20AD5" w:rsidRDefault="00F20AD5" w:rsidP="00CF4E11">
      <w:pPr>
        <w:rPr>
          <w:rFonts w:ascii="Times New Roman" w:hAnsi="Times New Roman" w:cs="Times New Roman"/>
          <w:sz w:val="24"/>
          <w:szCs w:val="24"/>
        </w:rPr>
      </w:pPr>
    </w:p>
    <w:p w:rsidR="00F20AD5" w:rsidRDefault="00CF4E11" w:rsidP="00CF4E11">
      <w:pPr>
        <w:rPr>
          <w:rFonts w:ascii="Times New Roman" w:hAnsi="Times New Roman" w:cs="Times New Roman"/>
          <w:sz w:val="24"/>
          <w:szCs w:val="24"/>
        </w:rPr>
      </w:pPr>
      <w:r w:rsidRPr="00E5087D">
        <w:rPr>
          <w:rFonts w:ascii="Times New Roman" w:hAnsi="Times New Roman" w:cs="Times New Roman"/>
          <w:sz w:val="24"/>
          <w:szCs w:val="24"/>
        </w:rPr>
        <w:t>As can be seen from the graph the grid has experienced a steady increase in distributed RE, spec</w:t>
      </w:r>
      <w:r w:rsidR="0075575E">
        <w:rPr>
          <w:rFonts w:ascii="Times New Roman" w:hAnsi="Times New Roman" w:cs="Times New Roman"/>
          <w:sz w:val="24"/>
          <w:szCs w:val="24"/>
        </w:rPr>
        <w:t>ifically PV systems. T</w:t>
      </w:r>
      <w:r w:rsidRPr="00E5087D">
        <w:rPr>
          <w:rFonts w:ascii="Times New Roman" w:hAnsi="Times New Roman" w:cs="Times New Roman"/>
          <w:sz w:val="24"/>
          <w:szCs w:val="24"/>
        </w:rPr>
        <w:t>here was approximately a 59% incre</w:t>
      </w:r>
      <w:r w:rsidR="00F20AD5">
        <w:rPr>
          <w:rFonts w:ascii="Times New Roman" w:hAnsi="Times New Roman" w:cs="Times New Roman"/>
          <w:sz w:val="24"/>
          <w:szCs w:val="24"/>
        </w:rPr>
        <w:t>ase of installed systems in 2015</w:t>
      </w:r>
      <w:r w:rsidRPr="00E5087D">
        <w:rPr>
          <w:rFonts w:ascii="Times New Roman" w:hAnsi="Times New Roman" w:cs="Times New Roman"/>
          <w:sz w:val="24"/>
          <w:szCs w:val="24"/>
        </w:rPr>
        <w:t>.</w:t>
      </w:r>
      <w:r w:rsidR="00A55544">
        <w:rPr>
          <w:rFonts w:ascii="Times New Roman" w:hAnsi="Times New Roman" w:cs="Times New Roman"/>
          <w:sz w:val="24"/>
          <w:szCs w:val="24"/>
        </w:rPr>
        <w:t xml:space="preserve"> </w:t>
      </w:r>
      <w:r>
        <w:rPr>
          <w:rFonts w:ascii="Times New Roman" w:hAnsi="Times New Roman" w:cs="Times New Roman"/>
          <w:sz w:val="24"/>
          <w:szCs w:val="24"/>
        </w:rPr>
        <w:t>This was the highest recorded increase in installed distributed PV for the period.</w:t>
      </w:r>
      <w:r w:rsidR="00F20AD5">
        <w:rPr>
          <w:rFonts w:ascii="Times New Roman" w:hAnsi="Times New Roman" w:cs="Times New Roman"/>
          <w:sz w:val="24"/>
          <w:szCs w:val="24"/>
        </w:rPr>
        <w:t xml:space="preserve"> </w:t>
      </w:r>
    </w:p>
    <w:p w:rsidR="00F20AD5" w:rsidRDefault="00F20AD5" w:rsidP="00CF4E11">
      <w:pPr>
        <w:rPr>
          <w:rFonts w:ascii="Times New Roman" w:hAnsi="Times New Roman" w:cs="Times New Roman"/>
          <w:sz w:val="24"/>
          <w:szCs w:val="24"/>
        </w:rPr>
      </w:pPr>
    </w:p>
    <w:p w:rsidR="00CF4E11" w:rsidRPr="00E5087D" w:rsidRDefault="00F20AD5" w:rsidP="00CF4E11">
      <w:pPr>
        <w:rPr>
          <w:rFonts w:ascii="Times New Roman" w:hAnsi="Times New Roman" w:cs="Times New Roman"/>
          <w:sz w:val="24"/>
          <w:szCs w:val="24"/>
        </w:rPr>
      </w:pPr>
      <w:r>
        <w:rPr>
          <w:rFonts w:ascii="Times New Roman" w:hAnsi="Times New Roman" w:cs="Times New Roman"/>
          <w:sz w:val="24"/>
          <w:szCs w:val="24"/>
        </w:rPr>
        <w:t xml:space="preserve">This increase occurred due to the fact that more commercial entities invested in distributed PV installations in order to reduce their electricity bill from DOMLEC since the fuel surcharge at that point was still </w:t>
      </w:r>
      <w:r w:rsidR="0075575E">
        <w:rPr>
          <w:rFonts w:ascii="Times New Roman" w:hAnsi="Times New Roman" w:cs="Times New Roman"/>
          <w:sz w:val="24"/>
          <w:szCs w:val="24"/>
        </w:rPr>
        <w:t xml:space="preserve">very </w:t>
      </w:r>
      <w:r>
        <w:rPr>
          <w:rFonts w:ascii="Times New Roman" w:hAnsi="Times New Roman" w:cs="Times New Roman"/>
          <w:sz w:val="24"/>
          <w:szCs w:val="24"/>
        </w:rPr>
        <w:t xml:space="preserve">high.  </w:t>
      </w:r>
    </w:p>
    <w:p w:rsidR="00CF4E11" w:rsidRPr="00E5087D" w:rsidRDefault="00CF4E11" w:rsidP="00CF4E11">
      <w:pPr>
        <w:rPr>
          <w:rFonts w:ascii="Times New Roman" w:hAnsi="Times New Roman" w:cs="Times New Roman"/>
          <w:sz w:val="24"/>
          <w:szCs w:val="24"/>
        </w:rPr>
      </w:pPr>
    </w:p>
    <w:p w:rsidR="00CF4E11" w:rsidRDefault="00CF4E11" w:rsidP="00CF4E11">
      <w:pPr>
        <w:rPr>
          <w:rFonts w:ascii="Times New Roman" w:hAnsi="Times New Roman" w:cs="Times New Roman"/>
          <w:sz w:val="24"/>
          <w:szCs w:val="24"/>
        </w:rPr>
      </w:pPr>
      <w:r w:rsidRPr="00E5087D">
        <w:rPr>
          <w:rFonts w:ascii="Times New Roman" w:hAnsi="Times New Roman" w:cs="Times New Roman"/>
          <w:sz w:val="24"/>
          <w:szCs w:val="24"/>
        </w:rPr>
        <w:t>Distributed PV installations have s</w:t>
      </w:r>
      <w:r w:rsidR="0075575E">
        <w:rPr>
          <w:rFonts w:ascii="Times New Roman" w:hAnsi="Times New Roman" w:cs="Times New Roman"/>
          <w:sz w:val="24"/>
          <w:szCs w:val="24"/>
        </w:rPr>
        <w:t xml:space="preserve">lowed down as </w:t>
      </w:r>
      <w:r w:rsidRPr="00E5087D">
        <w:rPr>
          <w:rFonts w:ascii="Times New Roman" w:hAnsi="Times New Roman" w:cs="Times New Roman"/>
          <w:sz w:val="24"/>
          <w:szCs w:val="24"/>
        </w:rPr>
        <w:t xml:space="preserve">the cap cited between DOMLEC and the IRC </w:t>
      </w:r>
      <w:r w:rsidR="00F20AD5">
        <w:rPr>
          <w:rFonts w:ascii="Times New Roman" w:hAnsi="Times New Roman" w:cs="Times New Roman"/>
          <w:sz w:val="24"/>
          <w:szCs w:val="24"/>
        </w:rPr>
        <w:t>in DOMLEC’s interconnection policy was</w:t>
      </w:r>
      <w:r w:rsidRPr="00E5087D">
        <w:rPr>
          <w:rFonts w:ascii="Times New Roman" w:hAnsi="Times New Roman" w:cs="Times New Roman"/>
          <w:sz w:val="24"/>
          <w:szCs w:val="24"/>
        </w:rPr>
        <w:t xml:space="preserve"> reached. </w:t>
      </w:r>
      <w:r>
        <w:rPr>
          <w:rFonts w:ascii="Times New Roman" w:hAnsi="Times New Roman" w:cs="Times New Roman"/>
          <w:sz w:val="24"/>
          <w:szCs w:val="24"/>
        </w:rPr>
        <w:t xml:space="preserve">This cap is currently </w:t>
      </w:r>
      <w:r w:rsidR="007279E9">
        <w:rPr>
          <w:rFonts w:ascii="Times New Roman" w:hAnsi="Times New Roman" w:cs="Times New Roman"/>
          <w:sz w:val="24"/>
          <w:szCs w:val="24"/>
        </w:rPr>
        <w:t xml:space="preserve">set at 6% of the peak load and </w:t>
      </w:r>
      <w:r>
        <w:rPr>
          <w:rFonts w:ascii="Times New Roman" w:hAnsi="Times New Roman" w:cs="Times New Roman"/>
          <w:sz w:val="24"/>
          <w:szCs w:val="24"/>
        </w:rPr>
        <w:t xml:space="preserve">is equivalent to 1066 kW. </w:t>
      </w:r>
      <w:r w:rsidRPr="00E5087D">
        <w:rPr>
          <w:rFonts w:ascii="Times New Roman" w:hAnsi="Times New Roman" w:cs="Times New Roman"/>
          <w:sz w:val="24"/>
          <w:szCs w:val="24"/>
        </w:rPr>
        <w:t>A review of this cap is in process as DOMLEC</w:t>
      </w:r>
      <w:r>
        <w:rPr>
          <w:rFonts w:ascii="Times New Roman" w:hAnsi="Times New Roman" w:cs="Times New Roman"/>
          <w:sz w:val="24"/>
          <w:szCs w:val="24"/>
        </w:rPr>
        <w:t xml:space="preserve"> is performing a grid connected intermittent renewable energy penetration (IREP) </w:t>
      </w:r>
      <w:r w:rsidRPr="00E5087D">
        <w:rPr>
          <w:rFonts w:ascii="Times New Roman" w:hAnsi="Times New Roman" w:cs="Times New Roman"/>
          <w:sz w:val="24"/>
          <w:szCs w:val="24"/>
        </w:rPr>
        <w:t xml:space="preserve">study in order to </w:t>
      </w:r>
      <w:r>
        <w:rPr>
          <w:rFonts w:ascii="Times New Roman" w:hAnsi="Times New Roman" w:cs="Times New Roman"/>
          <w:sz w:val="24"/>
          <w:szCs w:val="24"/>
        </w:rPr>
        <w:t>arrive at the optimum quantity</w:t>
      </w:r>
      <w:r w:rsidRPr="00E5087D">
        <w:rPr>
          <w:rFonts w:ascii="Times New Roman" w:hAnsi="Times New Roman" w:cs="Times New Roman"/>
          <w:sz w:val="24"/>
          <w:szCs w:val="24"/>
        </w:rPr>
        <w:t xml:space="preserve"> of distributed RE systems that could be connected to the public grid.</w:t>
      </w:r>
    </w:p>
    <w:p w:rsidR="00CF4E11" w:rsidRDefault="00CF4E11" w:rsidP="00CF4E11">
      <w:pPr>
        <w:rPr>
          <w:rFonts w:ascii="Times New Roman" w:hAnsi="Times New Roman" w:cs="Times New Roman"/>
          <w:sz w:val="24"/>
          <w:szCs w:val="24"/>
        </w:rPr>
      </w:pPr>
    </w:p>
    <w:p w:rsidR="00CF4E11" w:rsidRDefault="00CF4E11" w:rsidP="00CF4E11">
      <w:pPr>
        <w:pStyle w:val="Heading2"/>
        <w:rPr>
          <w:rFonts w:ascii="Times New Roman" w:hAnsi="Times New Roman" w:cs="Times New Roman"/>
          <w:sz w:val="24"/>
          <w:szCs w:val="24"/>
        </w:rPr>
      </w:pPr>
      <w:bookmarkStart w:id="31" w:name="_Toc485128762"/>
      <w:r w:rsidRPr="000D4EF7">
        <w:rPr>
          <w:rFonts w:ascii="Times New Roman" w:hAnsi="Times New Roman" w:cs="Times New Roman"/>
          <w:b w:val="0"/>
          <w:color w:val="auto"/>
          <w:sz w:val="24"/>
          <w:szCs w:val="24"/>
        </w:rPr>
        <w:t>c.</w:t>
      </w:r>
      <w:r>
        <w:rPr>
          <w:rFonts w:ascii="Times New Roman" w:hAnsi="Times New Roman" w:cs="Times New Roman"/>
          <w:b w:val="0"/>
          <w:sz w:val="24"/>
          <w:szCs w:val="24"/>
        </w:rPr>
        <w:t xml:space="preserve"> </w:t>
      </w:r>
      <w:r w:rsidRPr="007A1983">
        <w:rPr>
          <w:rFonts w:ascii="Times New Roman" w:hAnsi="Times New Roman" w:cs="Times New Roman"/>
          <w:color w:val="000000" w:themeColor="text1"/>
          <w:sz w:val="24"/>
          <w:szCs w:val="24"/>
          <w:u w:val="single"/>
        </w:rPr>
        <w:t>Percentage RE Capacity tied to the Grid</w:t>
      </w:r>
      <w:bookmarkEnd w:id="31"/>
    </w:p>
    <w:p w:rsidR="00CF4E11" w:rsidRDefault="00CF4E11" w:rsidP="00CF4E11">
      <w:pPr>
        <w:rPr>
          <w:rFonts w:ascii="Times New Roman" w:hAnsi="Times New Roman" w:cs="Times New Roman"/>
          <w:sz w:val="24"/>
          <w:szCs w:val="24"/>
        </w:rPr>
      </w:pPr>
    </w:p>
    <w:p w:rsidR="00CF4E11" w:rsidRDefault="00CF4E11" w:rsidP="00CF4E11">
      <w:pPr>
        <w:pStyle w:val="NoSpacing"/>
        <w:tabs>
          <w:tab w:val="left" w:pos="360"/>
        </w:tabs>
        <w:jc w:val="both"/>
        <w:rPr>
          <w:rFonts w:ascii="Times New Roman" w:hAnsi="Times New Roman" w:cs="Times New Roman"/>
          <w:b/>
          <w:sz w:val="24"/>
          <w:szCs w:val="24"/>
        </w:rPr>
      </w:pPr>
      <w:r w:rsidRPr="00E94279">
        <w:rPr>
          <w:rFonts w:ascii="Times New Roman" w:hAnsi="Times New Roman" w:cs="Times New Roman"/>
          <w:b/>
          <w:noProof/>
          <w:sz w:val="24"/>
          <w:szCs w:val="24"/>
        </w:rPr>
        <w:drawing>
          <wp:inline distT="0" distB="0" distL="0" distR="0">
            <wp:extent cx="5878286" cy="2704780"/>
            <wp:effectExtent l="0" t="0" r="0"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4E11" w:rsidRDefault="00CF4E11" w:rsidP="00CF4E11">
      <w:pPr>
        <w:pStyle w:val="NoSpacing"/>
        <w:tabs>
          <w:tab w:val="left" w:pos="360"/>
        </w:tabs>
        <w:jc w:val="both"/>
        <w:rPr>
          <w:rFonts w:ascii="Times New Roman" w:hAnsi="Times New Roman" w:cs="Times New Roman"/>
          <w:b/>
          <w:sz w:val="24"/>
          <w:szCs w:val="24"/>
        </w:rPr>
      </w:pPr>
    </w:p>
    <w:p w:rsidR="00CF4E11" w:rsidRDefault="00201DC1" w:rsidP="00CF4E11">
      <w:pPr>
        <w:rPr>
          <w:rFonts w:ascii="Times New Roman" w:hAnsi="Times New Roman" w:cs="Times New Roman"/>
          <w:sz w:val="24"/>
          <w:szCs w:val="24"/>
        </w:rPr>
      </w:pPr>
      <w:r>
        <w:rPr>
          <w:rFonts w:ascii="Times New Roman" w:hAnsi="Times New Roman" w:cs="Times New Roman"/>
          <w:sz w:val="24"/>
          <w:szCs w:val="24"/>
        </w:rPr>
        <w:t>Figure 3</w:t>
      </w:r>
      <w:r w:rsidR="00CF4E11">
        <w:rPr>
          <w:rFonts w:ascii="Times New Roman" w:hAnsi="Times New Roman" w:cs="Times New Roman"/>
          <w:sz w:val="24"/>
          <w:szCs w:val="24"/>
        </w:rPr>
        <w:t xml:space="preserve"> above displays the percentage of distributed RE yearly generation in kWh contribution to the grid. </w:t>
      </w:r>
      <w:r>
        <w:rPr>
          <w:rFonts w:ascii="Times New Roman" w:hAnsi="Times New Roman" w:cs="Times New Roman"/>
          <w:sz w:val="24"/>
          <w:szCs w:val="24"/>
        </w:rPr>
        <w:t xml:space="preserve">As can be seen, </w:t>
      </w:r>
      <w:r w:rsidR="002D7C6B">
        <w:rPr>
          <w:rFonts w:ascii="Times New Roman" w:hAnsi="Times New Roman" w:cs="Times New Roman"/>
          <w:sz w:val="24"/>
          <w:szCs w:val="24"/>
        </w:rPr>
        <w:t xml:space="preserve">the highest output of distributed RE generation was in 2012 at 0.13%. Energy output from distributed RE declined to less than half that amount (0.06%) in 2013. The non-operation of the Rosalie wind turbine was the main reason for this decline. </w:t>
      </w:r>
      <w:r w:rsidR="007279E9">
        <w:rPr>
          <w:rFonts w:ascii="Times New Roman" w:hAnsi="Times New Roman" w:cs="Times New Roman"/>
          <w:sz w:val="24"/>
          <w:szCs w:val="24"/>
        </w:rPr>
        <w:t xml:space="preserve">The year </w:t>
      </w:r>
      <w:r w:rsidR="002D7C6B">
        <w:rPr>
          <w:rFonts w:ascii="Times New Roman" w:hAnsi="Times New Roman" w:cs="Times New Roman"/>
          <w:sz w:val="24"/>
          <w:szCs w:val="24"/>
        </w:rPr>
        <w:t>2014 saw the second highest increase as more PV units were</w:t>
      </w:r>
      <w:r w:rsidR="004620CE">
        <w:rPr>
          <w:rFonts w:ascii="Times New Roman" w:hAnsi="Times New Roman" w:cs="Times New Roman"/>
          <w:sz w:val="24"/>
          <w:szCs w:val="24"/>
        </w:rPr>
        <w:t xml:space="preserve"> added to the grid. This</w:t>
      </w:r>
      <w:r w:rsidR="002D7C6B">
        <w:rPr>
          <w:rFonts w:ascii="Times New Roman" w:hAnsi="Times New Roman" w:cs="Times New Roman"/>
          <w:sz w:val="24"/>
          <w:szCs w:val="24"/>
        </w:rPr>
        <w:t xml:space="preserve"> almost sinusoidal type of energy output over the period </w:t>
      </w:r>
      <w:r w:rsidR="00FF61C6">
        <w:rPr>
          <w:rFonts w:ascii="Times New Roman" w:hAnsi="Times New Roman" w:cs="Times New Roman"/>
          <w:sz w:val="24"/>
          <w:szCs w:val="24"/>
        </w:rPr>
        <w:t>could indicate</w:t>
      </w:r>
      <w:r w:rsidR="00B87936">
        <w:rPr>
          <w:rFonts w:ascii="Times New Roman" w:hAnsi="Times New Roman" w:cs="Times New Roman"/>
          <w:sz w:val="24"/>
          <w:szCs w:val="24"/>
        </w:rPr>
        <w:t>,</w:t>
      </w:r>
      <w:r w:rsidR="007E211A">
        <w:rPr>
          <w:rFonts w:ascii="Times New Roman" w:hAnsi="Times New Roman" w:cs="Times New Roman"/>
          <w:sz w:val="24"/>
          <w:szCs w:val="24"/>
        </w:rPr>
        <w:t xml:space="preserve"> </w:t>
      </w:r>
      <w:r w:rsidR="00E705CA">
        <w:rPr>
          <w:rFonts w:ascii="Times New Roman" w:hAnsi="Times New Roman" w:cs="Times New Roman"/>
          <w:sz w:val="24"/>
          <w:szCs w:val="24"/>
        </w:rPr>
        <w:t>on the one hand that customers used more of their self generated energy, but on the other hand that some units</w:t>
      </w:r>
      <w:r w:rsidR="001E7524">
        <w:rPr>
          <w:rFonts w:ascii="Times New Roman" w:hAnsi="Times New Roman" w:cs="Times New Roman"/>
          <w:sz w:val="24"/>
          <w:szCs w:val="24"/>
        </w:rPr>
        <w:t xml:space="preserve"> were</w:t>
      </w:r>
      <w:r w:rsidR="00FF61C6">
        <w:rPr>
          <w:rFonts w:ascii="Times New Roman" w:hAnsi="Times New Roman" w:cs="Times New Roman"/>
          <w:sz w:val="24"/>
          <w:szCs w:val="24"/>
        </w:rPr>
        <w:t xml:space="preserve"> faulty.</w:t>
      </w:r>
      <w:r w:rsidR="002D7C6B">
        <w:rPr>
          <w:rFonts w:ascii="Times New Roman" w:hAnsi="Times New Roman" w:cs="Times New Roman"/>
          <w:sz w:val="24"/>
          <w:szCs w:val="24"/>
        </w:rPr>
        <w:t xml:space="preserve"> </w:t>
      </w:r>
    </w:p>
    <w:p w:rsidR="00CF4E11" w:rsidRDefault="00CF4E11" w:rsidP="00CF4E11">
      <w:pPr>
        <w:rPr>
          <w:rFonts w:ascii="Times New Roman" w:hAnsi="Times New Roman" w:cs="Times New Roman"/>
          <w:sz w:val="24"/>
          <w:szCs w:val="24"/>
        </w:rPr>
      </w:pPr>
    </w:p>
    <w:p w:rsidR="0075575E" w:rsidRDefault="0075575E" w:rsidP="00CF4E11">
      <w:pPr>
        <w:rPr>
          <w:rFonts w:ascii="Times New Roman" w:hAnsi="Times New Roman" w:cs="Times New Roman"/>
          <w:sz w:val="24"/>
          <w:szCs w:val="24"/>
        </w:rPr>
      </w:pPr>
    </w:p>
    <w:p w:rsidR="0075575E" w:rsidRDefault="0075575E" w:rsidP="00CF4E11">
      <w:pPr>
        <w:rPr>
          <w:rFonts w:ascii="Times New Roman" w:hAnsi="Times New Roman" w:cs="Times New Roman"/>
          <w:sz w:val="24"/>
          <w:szCs w:val="24"/>
        </w:rPr>
      </w:pPr>
    </w:p>
    <w:p w:rsidR="0075575E" w:rsidRDefault="0075575E" w:rsidP="00CF4E11">
      <w:pPr>
        <w:rPr>
          <w:rFonts w:ascii="Times New Roman" w:hAnsi="Times New Roman" w:cs="Times New Roman"/>
          <w:sz w:val="24"/>
          <w:szCs w:val="24"/>
        </w:rPr>
      </w:pPr>
    </w:p>
    <w:p w:rsidR="00B74398" w:rsidRPr="007A1983" w:rsidRDefault="00B74398" w:rsidP="00D72ABE">
      <w:pPr>
        <w:pStyle w:val="Heading2"/>
        <w:rPr>
          <w:rFonts w:ascii="Times New Roman" w:hAnsi="Times New Roman" w:cs="Times New Roman"/>
          <w:color w:val="000000" w:themeColor="text1"/>
          <w:sz w:val="24"/>
          <w:szCs w:val="24"/>
        </w:rPr>
      </w:pPr>
      <w:bookmarkStart w:id="32" w:name="_Toc485128763"/>
      <w:r w:rsidRPr="007A1983">
        <w:rPr>
          <w:rFonts w:ascii="Times New Roman" w:hAnsi="Times New Roman" w:cs="Times New Roman"/>
          <w:color w:val="000000" w:themeColor="text1"/>
          <w:sz w:val="24"/>
          <w:szCs w:val="24"/>
        </w:rPr>
        <w:lastRenderedPageBreak/>
        <w:t xml:space="preserve">d. </w:t>
      </w:r>
      <w:r w:rsidRPr="007A1983">
        <w:rPr>
          <w:rFonts w:ascii="Times New Roman" w:hAnsi="Times New Roman" w:cs="Times New Roman"/>
          <w:color w:val="000000" w:themeColor="text1"/>
          <w:sz w:val="24"/>
          <w:szCs w:val="24"/>
          <w:u w:val="single"/>
        </w:rPr>
        <w:t>Proportion of Diesel and Hydro Generation</w:t>
      </w:r>
      <w:bookmarkEnd w:id="32"/>
    </w:p>
    <w:p w:rsidR="00B74398" w:rsidRDefault="00B74398" w:rsidP="00B74398"/>
    <w:p w:rsidR="00E2115A" w:rsidRDefault="00B74398" w:rsidP="00B74398">
      <w:pPr>
        <w:rPr>
          <w:rFonts w:ascii="Times New Roman" w:hAnsi="Times New Roman" w:cs="Times New Roman"/>
          <w:sz w:val="24"/>
          <w:szCs w:val="24"/>
        </w:rPr>
      </w:pPr>
      <w:r w:rsidRPr="00CD44CA">
        <w:rPr>
          <w:rFonts w:ascii="Times New Roman" w:hAnsi="Times New Roman" w:cs="Times New Roman"/>
          <w:sz w:val="24"/>
          <w:szCs w:val="24"/>
        </w:rPr>
        <w:t>Figure 4 below shows the proportion of Diesel and Hydro generation over the</w:t>
      </w:r>
      <w:r w:rsidR="0075575E">
        <w:rPr>
          <w:rFonts w:ascii="Times New Roman" w:hAnsi="Times New Roman" w:cs="Times New Roman"/>
          <w:sz w:val="24"/>
          <w:szCs w:val="24"/>
        </w:rPr>
        <w:t xml:space="preserve"> five year period.</w:t>
      </w:r>
      <w:r w:rsidR="00E2115A">
        <w:rPr>
          <w:rFonts w:ascii="Times New Roman" w:hAnsi="Times New Roman" w:cs="Times New Roman"/>
          <w:sz w:val="24"/>
          <w:szCs w:val="24"/>
        </w:rPr>
        <w:t xml:space="preserve"> The two most significant drops below 30% were</w:t>
      </w:r>
      <w:r w:rsidR="004620CE">
        <w:rPr>
          <w:rFonts w:ascii="Times New Roman" w:hAnsi="Times New Roman" w:cs="Times New Roman"/>
          <w:sz w:val="24"/>
          <w:szCs w:val="24"/>
        </w:rPr>
        <w:t xml:space="preserve"> recorded</w:t>
      </w:r>
      <w:r w:rsidR="00E2115A">
        <w:rPr>
          <w:rFonts w:ascii="Times New Roman" w:hAnsi="Times New Roman" w:cs="Times New Roman"/>
          <w:sz w:val="24"/>
          <w:szCs w:val="24"/>
        </w:rPr>
        <w:t xml:space="preserve"> in the years 2012 and 2015.</w:t>
      </w:r>
    </w:p>
    <w:p w:rsidR="00E2115A" w:rsidRDefault="00E2115A" w:rsidP="00B74398">
      <w:pPr>
        <w:rPr>
          <w:rFonts w:ascii="Times New Roman" w:hAnsi="Times New Roman" w:cs="Times New Roman"/>
          <w:sz w:val="24"/>
          <w:szCs w:val="24"/>
        </w:rPr>
      </w:pPr>
    </w:p>
    <w:p w:rsidR="00E2115A" w:rsidRPr="00CD44CA" w:rsidRDefault="00E2115A" w:rsidP="00E2115A">
      <w:pPr>
        <w:rPr>
          <w:rFonts w:ascii="Times New Roman" w:hAnsi="Times New Roman" w:cs="Times New Roman"/>
          <w:sz w:val="24"/>
          <w:szCs w:val="24"/>
        </w:rPr>
      </w:pPr>
      <w:r>
        <w:rPr>
          <w:rFonts w:ascii="Times New Roman" w:hAnsi="Times New Roman" w:cs="Times New Roman"/>
          <w:sz w:val="24"/>
          <w:szCs w:val="24"/>
        </w:rPr>
        <w:t>I</w:t>
      </w:r>
      <w:r w:rsidRPr="00CD44CA">
        <w:rPr>
          <w:rFonts w:ascii="Times New Roman" w:hAnsi="Times New Roman" w:cs="Times New Roman"/>
          <w:sz w:val="24"/>
          <w:szCs w:val="24"/>
        </w:rPr>
        <w:t>n 2012</w:t>
      </w:r>
      <w:r>
        <w:rPr>
          <w:rFonts w:ascii="Times New Roman" w:hAnsi="Times New Roman" w:cs="Times New Roman"/>
          <w:sz w:val="24"/>
          <w:szCs w:val="24"/>
        </w:rPr>
        <w:t>,</w:t>
      </w:r>
      <w:r w:rsidR="004620CE">
        <w:rPr>
          <w:rFonts w:ascii="Times New Roman" w:hAnsi="Times New Roman" w:cs="Times New Roman"/>
          <w:sz w:val="24"/>
          <w:szCs w:val="24"/>
        </w:rPr>
        <w:t xml:space="preserve"> there was</w:t>
      </w:r>
      <w:r w:rsidRPr="00CD44CA">
        <w:rPr>
          <w:rFonts w:ascii="Times New Roman" w:hAnsi="Times New Roman" w:cs="Times New Roman"/>
          <w:sz w:val="24"/>
          <w:szCs w:val="24"/>
        </w:rPr>
        <w:t xml:space="preserve"> an issue wi</w:t>
      </w:r>
      <w:r w:rsidR="004620CE">
        <w:rPr>
          <w:rFonts w:ascii="Times New Roman" w:hAnsi="Times New Roman" w:cs="Times New Roman"/>
          <w:sz w:val="24"/>
          <w:szCs w:val="24"/>
        </w:rPr>
        <w:t>th the Padu turbines and one</w:t>
      </w:r>
      <w:r w:rsidRPr="00CD44CA">
        <w:rPr>
          <w:rFonts w:ascii="Times New Roman" w:hAnsi="Times New Roman" w:cs="Times New Roman"/>
          <w:sz w:val="24"/>
          <w:szCs w:val="24"/>
        </w:rPr>
        <w:t xml:space="preserve"> of the units at New Trafalgar was out</w:t>
      </w:r>
      <w:r>
        <w:rPr>
          <w:rFonts w:ascii="Times New Roman" w:hAnsi="Times New Roman" w:cs="Times New Roman"/>
          <w:sz w:val="24"/>
          <w:szCs w:val="24"/>
        </w:rPr>
        <w:t xml:space="preserve"> of service as it developed a fault. This c</w:t>
      </w:r>
      <w:r w:rsidR="004620CE">
        <w:rPr>
          <w:rFonts w:ascii="Times New Roman" w:hAnsi="Times New Roman" w:cs="Times New Roman"/>
          <w:sz w:val="24"/>
          <w:szCs w:val="24"/>
        </w:rPr>
        <w:t>aused a reduction in output</w:t>
      </w:r>
      <w:r>
        <w:rPr>
          <w:rFonts w:ascii="Times New Roman" w:hAnsi="Times New Roman" w:cs="Times New Roman"/>
          <w:sz w:val="24"/>
          <w:szCs w:val="24"/>
        </w:rPr>
        <w:t>.</w:t>
      </w:r>
    </w:p>
    <w:p w:rsidR="00E2115A" w:rsidRDefault="00E2115A" w:rsidP="00B74398">
      <w:pPr>
        <w:rPr>
          <w:rFonts w:ascii="Times New Roman" w:hAnsi="Times New Roman" w:cs="Times New Roman"/>
          <w:sz w:val="24"/>
          <w:szCs w:val="24"/>
        </w:rPr>
      </w:pPr>
    </w:p>
    <w:p w:rsidR="00E2115A" w:rsidRDefault="0075575E" w:rsidP="00B74398">
      <w:pPr>
        <w:rPr>
          <w:rFonts w:ascii="Times New Roman" w:hAnsi="Times New Roman" w:cs="Times New Roman"/>
          <w:sz w:val="24"/>
          <w:szCs w:val="24"/>
        </w:rPr>
      </w:pPr>
      <w:r>
        <w:rPr>
          <w:rFonts w:ascii="Times New Roman" w:hAnsi="Times New Roman" w:cs="Times New Roman"/>
          <w:sz w:val="24"/>
          <w:szCs w:val="24"/>
        </w:rPr>
        <w:t>T</w:t>
      </w:r>
      <w:r w:rsidR="00B74398" w:rsidRPr="00CD44CA">
        <w:rPr>
          <w:rFonts w:ascii="Times New Roman" w:hAnsi="Times New Roman" w:cs="Times New Roman"/>
          <w:sz w:val="24"/>
          <w:szCs w:val="24"/>
        </w:rPr>
        <w:t xml:space="preserve">he drop in Hydro output in 2015 </w:t>
      </w:r>
      <w:r>
        <w:rPr>
          <w:rFonts w:ascii="Times New Roman" w:hAnsi="Times New Roman" w:cs="Times New Roman"/>
          <w:sz w:val="24"/>
          <w:szCs w:val="24"/>
        </w:rPr>
        <w:t xml:space="preserve">was </w:t>
      </w:r>
      <w:r w:rsidR="00B74398" w:rsidRPr="00CD44CA">
        <w:rPr>
          <w:rFonts w:ascii="Times New Roman" w:hAnsi="Times New Roman" w:cs="Times New Roman"/>
          <w:sz w:val="24"/>
          <w:szCs w:val="24"/>
        </w:rPr>
        <w:t>d</w:t>
      </w:r>
      <w:r w:rsidR="004620CE">
        <w:rPr>
          <w:rFonts w:ascii="Times New Roman" w:hAnsi="Times New Roman" w:cs="Times New Roman"/>
          <w:sz w:val="24"/>
          <w:szCs w:val="24"/>
        </w:rPr>
        <w:t>ue to the passage of Tropical St</w:t>
      </w:r>
      <w:r w:rsidR="00B74398" w:rsidRPr="00CD44CA">
        <w:rPr>
          <w:rFonts w:ascii="Times New Roman" w:hAnsi="Times New Roman" w:cs="Times New Roman"/>
          <w:sz w:val="24"/>
          <w:szCs w:val="24"/>
        </w:rPr>
        <w:t>orm Erika</w:t>
      </w:r>
      <w:r w:rsidR="001E7524">
        <w:rPr>
          <w:rFonts w:ascii="Times New Roman" w:hAnsi="Times New Roman" w:cs="Times New Roman"/>
          <w:sz w:val="24"/>
          <w:szCs w:val="24"/>
        </w:rPr>
        <w:t>, and the consequent damage to the hydro infrastructure. The output of the hydro facility was reduced for six months following the storm.</w:t>
      </w:r>
    </w:p>
    <w:p w:rsidR="00B74398" w:rsidRDefault="00A42CC2" w:rsidP="00B74398">
      <w:pPr>
        <w:pStyle w:val="NoSpacing"/>
        <w:jc w:val="both"/>
        <w:rPr>
          <w:rFonts w:ascii="Times New Roman" w:hAnsi="Times New Roman" w:cs="Times New Roman"/>
          <w:sz w:val="24"/>
          <w:szCs w:val="24"/>
        </w:rPr>
      </w:pPr>
      <w:r w:rsidRPr="001E7209">
        <w:rPr>
          <w:rFonts w:ascii="Times New Roman" w:hAnsi="Times New Roman" w:cs="Times New Roman"/>
          <w:noProof/>
          <w:sz w:val="24"/>
          <w:szCs w:val="24"/>
        </w:rPr>
        <w:drawing>
          <wp:inline distT="0" distB="0" distL="0" distR="0">
            <wp:extent cx="5943600" cy="358140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4398" w:rsidRDefault="00B74398" w:rsidP="00B74398">
      <w:pPr>
        <w:pStyle w:val="NoSpacing"/>
        <w:tabs>
          <w:tab w:val="left" w:pos="1200"/>
        </w:tabs>
        <w:jc w:val="both"/>
        <w:rPr>
          <w:rFonts w:ascii="Times New Roman" w:hAnsi="Times New Roman" w:cs="Times New Roman"/>
          <w:sz w:val="24"/>
          <w:szCs w:val="24"/>
        </w:rPr>
      </w:pPr>
      <w:r>
        <w:rPr>
          <w:rFonts w:ascii="Times New Roman" w:hAnsi="Times New Roman" w:cs="Times New Roman"/>
          <w:sz w:val="24"/>
          <w:szCs w:val="24"/>
        </w:rPr>
        <w:tab/>
      </w:r>
    </w:p>
    <w:p w:rsidR="00B74398" w:rsidRDefault="00B74398" w:rsidP="00B74398">
      <w:pPr>
        <w:jc w:val="left"/>
        <w:rPr>
          <w:rFonts w:ascii="Times New Roman" w:hAnsi="Times New Roman" w:cs="Times New Roman"/>
          <w:sz w:val="24"/>
          <w:szCs w:val="24"/>
        </w:rPr>
      </w:pPr>
      <w:r>
        <w:rPr>
          <w:rFonts w:ascii="Times New Roman" w:hAnsi="Times New Roman" w:cs="Times New Roman"/>
          <w:sz w:val="24"/>
          <w:szCs w:val="24"/>
        </w:rPr>
        <w:t>The Hydro output is</w:t>
      </w:r>
      <w:r w:rsidR="006B5741">
        <w:rPr>
          <w:rFonts w:ascii="Times New Roman" w:hAnsi="Times New Roman" w:cs="Times New Roman"/>
          <w:sz w:val="24"/>
          <w:szCs w:val="24"/>
        </w:rPr>
        <w:t xml:space="preserve"> significantly dependent on the</w:t>
      </w:r>
      <w:r>
        <w:rPr>
          <w:rFonts w:ascii="Times New Roman" w:hAnsi="Times New Roman" w:cs="Times New Roman"/>
          <w:sz w:val="24"/>
          <w:szCs w:val="24"/>
        </w:rPr>
        <w:t xml:space="preserve"> availability of water and that in turn is dependent on rainfall. Less rain means less water and translates into reduced output from the Hydro plants.</w:t>
      </w:r>
    </w:p>
    <w:p w:rsidR="005B0F7A" w:rsidRDefault="005B0F7A" w:rsidP="00B74398">
      <w:pPr>
        <w:jc w:val="left"/>
        <w:rPr>
          <w:rFonts w:ascii="Times New Roman" w:hAnsi="Times New Roman" w:cs="Times New Roman"/>
          <w:sz w:val="24"/>
          <w:szCs w:val="24"/>
        </w:rPr>
      </w:pPr>
    </w:p>
    <w:p w:rsidR="004F4F1C" w:rsidRDefault="004F4F1C" w:rsidP="00B74398">
      <w:pPr>
        <w:jc w:val="left"/>
        <w:rPr>
          <w:rFonts w:ascii="Times New Roman" w:hAnsi="Times New Roman" w:cs="Times New Roman"/>
          <w:sz w:val="24"/>
          <w:szCs w:val="24"/>
        </w:rPr>
      </w:pPr>
      <w:r>
        <w:rPr>
          <w:rFonts w:ascii="Times New Roman" w:hAnsi="Times New Roman" w:cs="Times New Roman"/>
          <w:sz w:val="24"/>
          <w:szCs w:val="24"/>
        </w:rPr>
        <w:t>The normal output of the hydro is in the range of 30% to 37%</w:t>
      </w:r>
      <w:r w:rsidR="006B5741">
        <w:rPr>
          <w:rFonts w:ascii="Times New Roman" w:hAnsi="Times New Roman" w:cs="Times New Roman"/>
          <w:sz w:val="24"/>
          <w:szCs w:val="24"/>
        </w:rPr>
        <w:t xml:space="preserve"> of total generation</w:t>
      </w:r>
      <w:r w:rsidR="004620CE">
        <w:rPr>
          <w:rFonts w:ascii="Times New Roman" w:hAnsi="Times New Roman" w:cs="Times New Roman"/>
          <w:sz w:val="24"/>
          <w:szCs w:val="24"/>
        </w:rPr>
        <w:t>. H</w:t>
      </w:r>
      <w:r>
        <w:rPr>
          <w:rFonts w:ascii="Times New Roman" w:hAnsi="Times New Roman" w:cs="Times New Roman"/>
          <w:sz w:val="24"/>
          <w:szCs w:val="24"/>
        </w:rPr>
        <w:t>owever</w:t>
      </w:r>
      <w:r w:rsidR="004620CE">
        <w:rPr>
          <w:rFonts w:ascii="Times New Roman" w:hAnsi="Times New Roman" w:cs="Times New Roman"/>
          <w:sz w:val="24"/>
          <w:szCs w:val="24"/>
        </w:rPr>
        <w:t xml:space="preserve">, this </w:t>
      </w:r>
      <w:r w:rsidR="00C45927">
        <w:rPr>
          <w:rFonts w:ascii="Times New Roman" w:hAnsi="Times New Roman" w:cs="Times New Roman"/>
          <w:sz w:val="24"/>
          <w:szCs w:val="24"/>
        </w:rPr>
        <w:t xml:space="preserve">output </w:t>
      </w:r>
      <w:r>
        <w:rPr>
          <w:rFonts w:ascii="Times New Roman" w:hAnsi="Times New Roman" w:cs="Times New Roman"/>
          <w:sz w:val="24"/>
          <w:szCs w:val="24"/>
        </w:rPr>
        <w:t>can be af</w:t>
      </w:r>
      <w:r w:rsidR="00C45927">
        <w:rPr>
          <w:rFonts w:ascii="Times New Roman" w:hAnsi="Times New Roman" w:cs="Times New Roman"/>
          <w:sz w:val="24"/>
          <w:szCs w:val="24"/>
        </w:rPr>
        <w:t xml:space="preserve">fected by </w:t>
      </w:r>
      <w:r>
        <w:rPr>
          <w:rFonts w:ascii="Times New Roman" w:hAnsi="Times New Roman" w:cs="Times New Roman"/>
          <w:sz w:val="24"/>
          <w:szCs w:val="24"/>
        </w:rPr>
        <w:t>reduced capacity due to low rainfall</w:t>
      </w:r>
      <w:r w:rsidR="00B21994">
        <w:rPr>
          <w:rFonts w:ascii="Times New Roman" w:hAnsi="Times New Roman" w:cs="Times New Roman"/>
          <w:sz w:val="24"/>
          <w:szCs w:val="24"/>
        </w:rPr>
        <w:t>, disasters</w:t>
      </w:r>
      <w:r>
        <w:rPr>
          <w:rFonts w:ascii="Times New Roman" w:hAnsi="Times New Roman" w:cs="Times New Roman"/>
          <w:sz w:val="24"/>
          <w:szCs w:val="24"/>
        </w:rPr>
        <w:t xml:space="preserve"> or generator failure.</w:t>
      </w:r>
    </w:p>
    <w:p w:rsidR="00B74398" w:rsidRDefault="00B74398" w:rsidP="00B74398">
      <w:pPr>
        <w:jc w:val="left"/>
        <w:rPr>
          <w:rFonts w:ascii="Times New Roman" w:hAnsi="Times New Roman" w:cs="Times New Roman"/>
          <w:sz w:val="24"/>
          <w:szCs w:val="24"/>
        </w:rPr>
      </w:pPr>
    </w:p>
    <w:p w:rsidR="00B74398" w:rsidRDefault="00B74398" w:rsidP="00B74398">
      <w:pPr>
        <w:jc w:val="left"/>
        <w:rPr>
          <w:rFonts w:ascii="Times New Roman" w:hAnsi="Times New Roman" w:cs="Times New Roman"/>
          <w:sz w:val="24"/>
          <w:szCs w:val="24"/>
        </w:rPr>
      </w:pPr>
    </w:p>
    <w:p w:rsidR="00B74398" w:rsidRDefault="00B74398" w:rsidP="00B74398">
      <w:pPr>
        <w:jc w:val="left"/>
        <w:rPr>
          <w:rFonts w:ascii="Times New Roman" w:hAnsi="Times New Roman" w:cs="Times New Roman"/>
          <w:sz w:val="24"/>
          <w:szCs w:val="24"/>
        </w:rPr>
      </w:pPr>
      <w:r w:rsidRPr="0029080E">
        <w:rPr>
          <w:rFonts w:ascii="Times New Roman" w:hAnsi="Times New Roman" w:cs="Times New Roman"/>
          <w:noProof/>
          <w:sz w:val="24"/>
          <w:szCs w:val="24"/>
        </w:rPr>
        <w:lastRenderedPageBreak/>
        <w:drawing>
          <wp:inline distT="0" distB="0" distL="0" distR="0">
            <wp:extent cx="5517397" cy="2433234"/>
            <wp:effectExtent l="0" t="0" r="0" b="0"/>
            <wp:docPr id="2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4398" w:rsidRDefault="00B74398" w:rsidP="00B74398">
      <w:pPr>
        <w:jc w:val="center"/>
        <w:rPr>
          <w:rFonts w:ascii="Times New Roman" w:hAnsi="Times New Roman" w:cs="Times New Roman"/>
          <w:sz w:val="24"/>
          <w:szCs w:val="24"/>
        </w:rPr>
      </w:pPr>
    </w:p>
    <w:p w:rsidR="00B74398" w:rsidRDefault="00B74398" w:rsidP="00B74398">
      <w:pPr>
        <w:jc w:val="center"/>
        <w:rPr>
          <w:rFonts w:ascii="Times New Roman" w:hAnsi="Times New Roman" w:cs="Times New Roman"/>
          <w:sz w:val="24"/>
          <w:szCs w:val="24"/>
        </w:rPr>
      </w:pPr>
      <w:r>
        <w:rPr>
          <w:rFonts w:ascii="Times New Roman" w:hAnsi="Times New Roman" w:cs="Times New Roman"/>
          <w:sz w:val="24"/>
          <w:szCs w:val="24"/>
        </w:rPr>
        <w:t xml:space="preserve">Figure 4(a) – Percentage increase/decrease hydro/diesel contributions </w:t>
      </w:r>
    </w:p>
    <w:p w:rsidR="00B74398" w:rsidRDefault="00B74398" w:rsidP="00B74398">
      <w:pPr>
        <w:jc w:val="center"/>
        <w:rPr>
          <w:rFonts w:ascii="Times New Roman" w:hAnsi="Times New Roman" w:cs="Times New Roman"/>
          <w:sz w:val="24"/>
          <w:szCs w:val="24"/>
        </w:rPr>
      </w:pPr>
    </w:p>
    <w:p w:rsidR="00B74398" w:rsidRDefault="00B74398" w:rsidP="00B74398">
      <w:pPr>
        <w:jc w:val="left"/>
        <w:rPr>
          <w:rFonts w:ascii="Times New Roman" w:hAnsi="Times New Roman" w:cs="Times New Roman"/>
          <w:sz w:val="24"/>
          <w:szCs w:val="24"/>
        </w:rPr>
      </w:pPr>
      <w:r>
        <w:rPr>
          <w:rFonts w:ascii="Times New Roman" w:hAnsi="Times New Roman" w:cs="Times New Roman"/>
          <w:sz w:val="24"/>
          <w:szCs w:val="24"/>
        </w:rPr>
        <w:t xml:space="preserve"> Figure 4(a) shows the trending percentage increase/decrease in the contribution between Diesel and Hydro generation from year to year over the period.</w:t>
      </w:r>
    </w:p>
    <w:p w:rsidR="002A3E51" w:rsidRDefault="002A3E51" w:rsidP="00B74398">
      <w:pPr>
        <w:jc w:val="left"/>
        <w:rPr>
          <w:rFonts w:ascii="Times New Roman" w:hAnsi="Times New Roman" w:cs="Times New Roman"/>
          <w:sz w:val="24"/>
          <w:szCs w:val="24"/>
        </w:rPr>
      </w:pPr>
    </w:p>
    <w:p w:rsidR="002A3E51" w:rsidRDefault="00C45927" w:rsidP="00000F06">
      <w:pPr>
        <w:rPr>
          <w:rFonts w:ascii="Times New Roman" w:hAnsi="Times New Roman" w:cs="Times New Roman"/>
          <w:sz w:val="24"/>
          <w:szCs w:val="24"/>
        </w:rPr>
      </w:pPr>
      <w:r>
        <w:rPr>
          <w:rFonts w:ascii="Times New Roman" w:hAnsi="Times New Roman" w:cs="Times New Roman"/>
          <w:sz w:val="24"/>
          <w:szCs w:val="24"/>
        </w:rPr>
        <w:t>As can be seen above,</w:t>
      </w:r>
      <w:r w:rsidR="00DE1805">
        <w:rPr>
          <w:rFonts w:ascii="Times New Roman" w:hAnsi="Times New Roman" w:cs="Times New Roman"/>
          <w:sz w:val="24"/>
          <w:szCs w:val="24"/>
        </w:rPr>
        <w:t xml:space="preserve"> low output</w:t>
      </w:r>
      <w:r>
        <w:rPr>
          <w:rFonts w:ascii="Times New Roman" w:hAnsi="Times New Roman" w:cs="Times New Roman"/>
          <w:sz w:val="24"/>
          <w:szCs w:val="24"/>
        </w:rPr>
        <w:t xml:space="preserve"> was realized from hydro</w:t>
      </w:r>
      <w:r w:rsidR="00DE1805">
        <w:rPr>
          <w:rFonts w:ascii="Times New Roman" w:hAnsi="Times New Roman" w:cs="Times New Roman"/>
          <w:sz w:val="24"/>
          <w:szCs w:val="24"/>
        </w:rPr>
        <w:t xml:space="preserve"> during the years</w:t>
      </w:r>
      <w:r w:rsidR="00D10342">
        <w:rPr>
          <w:rFonts w:ascii="Times New Roman" w:hAnsi="Times New Roman" w:cs="Times New Roman"/>
          <w:sz w:val="24"/>
          <w:szCs w:val="24"/>
        </w:rPr>
        <w:t xml:space="preserve"> 2012, 2014 and 2015. At those annual points the hydro was affected either by generator failure or by a disaster that compromised part of the hydro infra-structure. On the other hand, the thermal generation suffered from generator failure affecting the total diesel output in 2013 and 2016.</w:t>
      </w:r>
    </w:p>
    <w:p w:rsidR="00B74398" w:rsidRDefault="00B74398" w:rsidP="00000F06">
      <w:pPr>
        <w:rPr>
          <w:rFonts w:ascii="Times New Roman" w:hAnsi="Times New Roman" w:cs="Times New Roman"/>
          <w:sz w:val="24"/>
          <w:szCs w:val="24"/>
        </w:rPr>
      </w:pPr>
    </w:p>
    <w:p w:rsidR="00B74398" w:rsidRDefault="00B74398" w:rsidP="00B74398">
      <w:pPr>
        <w:jc w:val="left"/>
        <w:rPr>
          <w:rFonts w:ascii="Times New Roman" w:hAnsi="Times New Roman" w:cs="Times New Roman"/>
          <w:sz w:val="24"/>
          <w:szCs w:val="24"/>
        </w:rPr>
      </w:pPr>
      <w:r>
        <w:rPr>
          <w:rFonts w:ascii="Times New Roman" w:hAnsi="Times New Roman" w:cs="Times New Roman"/>
          <w:sz w:val="24"/>
          <w:szCs w:val="24"/>
        </w:rPr>
        <w:t xml:space="preserve">Hydro generation is cheaper than thermal (Diesel) generation. As such, the more output derived from the Hydro the less thermal generation is needed. This translates to a reduction in tariff for all customers. </w:t>
      </w:r>
    </w:p>
    <w:p w:rsidR="00B74398" w:rsidRPr="00C45927" w:rsidRDefault="00B74398" w:rsidP="00D72ABE">
      <w:pPr>
        <w:pStyle w:val="Heading2"/>
        <w:rPr>
          <w:rFonts w:ascii="Times New Roman" w:hAnsi="Times New Roman" w:cs="Times New Roman"/>
          <w:color w:val="000000" w:themeColor="text1"/>
          <w:sz w:val="24"/>
          <w:szCs w:val="24"/>
        </w:rPr>
      </w:pPr>
      <w:bookmarkStart w:id="33" w:name="_Toc485128764"/>
      <w:r w:rsidRPr="00C45927">
        <w:rPr>
          <w:rFonts w:ascii="Times New Roman" w:hAnsi="Times New Roman" w:cs="Times New Roman"/>
          <w:color w:val="000000" w:themeColor="text1"/>
          <w:sz w:val="24"/>
          <w:szCs w:val="24"/>
        </w:rPr>
        <w:t>e. Total Energy Generated, Delivered and Sold</w:t>
      </w:r>
      <w:bookmarkEnd w:id="33"/>
    </w:p>
    <w:p w:rsidR="00B74398" w:rsidRDefault="00B74398" w:rsidP="00B74398">
      <w:pPr>
        <w:rPr>
          <w:rFonts w:ascii="Times New Roman" w:hAnsi="Times New Roman" w:cs="Times New Roman"/>
          <w:b/>
          <w:sz w:val="24"/>
          <w:szCs w:val="24"/>
        </w:rPr>
      </w:pPr>
      <w:r w:rsidRPr="007F6A8F">
        <w:rPr>
          <w:rFonts w:ascii="Times New Roman" w:hAnsi="Times New Roman" w:cs="Times New Roman"/>
          <w:noProof/>
          <w:sz w:val="24"/>
          <w:szCs w:val="24"/>
        </w:rPr>
        <w:drawing>
          <wp:inline distT="0" distB="0" distL="0" distR="0">
            <wp:extent cx="5943600" cy="2448732"/>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4398" w:rsidRDefault="00B74398" w:rsidP="00B74398">
      <w:pPr>
        <w:rPr>
          <w:rFonts w:ascii="Times New Roman" w:hAnsi="Times New Roman" w:cs="Times New Roman"/>
          <w:b/>
          <w:sz w:val="24"/>
          <w:szCs w:val="24"/>
        </w:rPr>
      </w:pPr>
    </w:p>
    <w:p w:rsidR="00D10342" w:rsidRDefault="00D10342" w:rsidP="00B74398">
      <w:pPr>
        <w:rPr>
          <w:rFonts w:ascii="Times New Roman" w:hAnsi="Times New Roman" w:cs="Times New Roman"/>
          <w:sz w:val="24"/>
          <w:szCs w:val="24"/>
        </w:rPr>
      </w:pPr>
    </w:p>
    <w:p w:rsidR="00B74398" w:rsidRDefault="00696DAA" w:rsidP="00B74398">
      <w:pPr>
        <w:rPr>
          <w:rFonts w:ascii="Times New Roman" w:hAnsi="Times New Roman" w:cs="Times New Roman"/>
          <w:sz w:val="24"/>
          <w:szCs w:val="24"/>
        </w:rPr>
      </w:pPr>
      <w:r>
        <w:rPr>
          <w:rFonts w:ascii="Times New Roman" w:hAnsi="Times New Roman" w:cs="Times New Roman"/>
          <w:sz w:val="24"/>
          <w:szCs w:val="24"/>
        </w:rPr>
        <w:lastRenderedPageBreak/>
        <w:t xml:space="preserve">The energy </w:t>
      </w:r>
      <w:r w:rsidR="00B74398">
        <w:rPr>
          <w:rFonts w:ascii="Times New Roman" w:hAnsi="Times New Roman" w:cs="Times New Roman"/>
          <w:sz w:val="24"/>
          <w:szCs w:val="24"/>
        </w:rPr>
        <w:t>generated</w:t>
      </w:r>
      <w:r w:rsidR="00C45927">
        <w:rPr>
          <w:rFonts w:ascii="Times New Roman" w:hAnsi="Times New Roman" w:cs="Times New Roman"/>
          <w:sz w:val="24"/>
          <w:szCs w:val="24"/>
        </w:rPr>
        <w:t>,</w:t>
      </w:r>
      <w:r w:rsidR="00B74398">
        <w:rPr>
          <w:rFonts w:ascii="Times New Roman" w:hAnsi="Times New Roman" w:cs="Times New Roman"/>
          <w:sz w:val="24"/>
          <w:szCs w:val="24"/>
        </w:rPr>
        <w:t xml:space="preserve"> delivered and sold over</w:t>
      </w:r>
      <w:r w:rsidR="00B87936">
        <w:rPr>
          <w:rFonts w:ascii="Times New Roman" w:hAnsi="Times New Roman" w:cs="Times New Roman"/>
          <w:sz w:val="24"/>
          <w:szCs w:val="24"/>
        </w:rPr>
        <w:t xml:space="preserve"> the period is shown</w:t>
      </w:r>
      <w:r w:rsidR="00B74398">
        <w:rPr>
          <w:rFonts w:ascii="Times New Roman" w:hAnsi="Times New Roman" w:cs="Times New Roman"/>
          <w:sz w:val="24"/>
          <w:szCs w:val="24"/>
        </w:rPr>
        <w:t xml:space="preserve"> </w:t>
      </w:r>
      <w:r w:rsidR="001E7524">
        <w:rPr>
          <w:rFonts w:ascii="Times New Roman" w:hAnsi="Times New Roman" w:cs="Times New Roman"/>
          <w:sz w:val="24"/>
          <w:szCs w:val="24"/>
        </w:rPr>
        <w:t xml:space="preserve">in figure 5 </w:t>
      </w:r>
      <w:r w:rsidR="00B74398">
        <w:rPr>
          <w:rFonts w:ascii="Times New Roman" w:hAnsi="Times New Roman" w:cs="Times New Roman"/>
          <w:sz w:val="24"/>
          <w:szCs w:val="24"/>
        </w:rPr>
        <w:t>above. As can be seen the energy usage ro</w:t>
      </w:r>
      <w:r w:rsidR="00C45927">
        <w:rPr>
          <w:rFonts w:ascii="Times New Roman" w:hAnsi="Times New Roman" w:cs="Times New Roman"/>
          <w:sz w:val="24"/>
          <w:szCs w:val="24"/>
        </w:rPr>
        <w:t xml:space="preserve">se steadily from 2013 </w:t>
      </w:r>
      <w:r w:rsidR="00B74398">
        <w:rPr>
          <w:rFonts w:ascii="Times New Roman" w:hAnsi="Times New Roman" w:cs="Times New Roman"/>
          <w:sz w:val="24"/>
          <w:szCs w:val="24"/>
        </w:rPr>
        <w:t>by the percentages shown below</w:t>
      </w:r>
      <w:r>
        <w:rPr>
          <w:rFonts w:ascii="Times New Roman" w:hAnsi="Times New Roman" w:cs="Times New Roman"/>
          <w:sz w:val="24"/>
          <w:szCs w:val="24"/>
        </w:rPr>
        <w:t xml:space="preserve"> in </w:t>
      </w:r>
      <w:r w:rsidR="003E1BC8">
        <w:rPr>
          <w:rFonts w:ascii="Times New Roman" w:hAnsi="Times New Roman" w:cs="Times New Roman"/>
          <w:sz w:val="24"/>
          <w:szCs w:val="24"/>
        </w:rPr>
        <w:t xml:space="preserve">figure </w:t>
      </w:r>
      <w:r>
        <w:rPr>
          <w:rFonts w:ascii="Times New Roman" w:hAnsi="Times New Roman" w:cs="Times New Roman"/>
          <w:sz w:val="24"/>
          <w:szCs w:val="24"/>
        </w:rPr>
        <w:t>5a</w:t>
      </w:r>
      <w:r w:rsidR="00B74398">
        <w:rPr>
          <w:rFonts w:ascii="Times New Roman" w:hAnsi="Times New Roman" w:cs="Times New Roman"/>
          <w:sz w:val="24"/>
          <w:szCs w:val="24"/>
        </w:rPr>
        <w:t>.</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sidRPr="00865ADD">
        <w:rPr>
          <w:rFonts w:ascii="Times New Roman" w:hAnsi="Times New Roman" w:cs="Times New Roman"/>
          <w:noProof/>
          <w:sz w:val="24"/>
          <w:szCs w:val="24"/>
        </w:rPr>
        <w:drawing>
          <wp:inline distT="0" distB="0" distL="0" distR="0">
            <wp:extent cx="6016598" cy="2743200"/>
            <wp:effectExtent l="0" t="0" r="0"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4398" w:rsidRDefault="00B74398" w:rsidP="00B74398">
      <w:pPr>
        <w:rPr>
          <w:rFonts w:ascii="Times New Roman" w:hAnsi="Times New Roman" w:cs="Times New Roman"/>
          <w:b/>
          <w:sz w:val="24"/>
          <w:szCs w:val="24"/>
        </w:rPr>
      </w:pPr>
    </w:p>
    <w:p w:rsidR="00B74398" w:rsidRDefault="00B74398" w:rsidP="00B74398">
      <w:pPr>
        <w:rPr>
          <w:rFonts w:ascii="Times New Roman" w:hAnsi="Times New Roman" w:cs="Times New Roman"/>
          <w:sz w:val="24"/>
          <w:szCs w:val="24"/>
        </w:rPr>
      </w:pPr>
      <w:r w:rsidRPr="00E761AC">
        <w:rPr>
          <w:rFonts w:ascii="Times New Roman" w:hAnsi="Times New Roman" w:cs="Times New Roman"/>
          <w:sz w:val="24"/>
          <w:szCs w:val="24"/>
        </w:rPr>
        <w:t>From the above trending curve</w:t>
      </w:r>
      <w:r w:rsidR="003C590A">
        <w:rPr>
          <w:rFonts w:ascii="Times New Roman" w:hAnsi="Times New Roman" w:cs="Times New Roman"/>
          <w:sz w:val="24"/>
          <w:szCs w:val="24"/>
        </w:rPr>
        <w:t xml:space="preserve">, it can be seen that </w:t>
      </w:r>
      <w:r>
        <w:rPr>
          <w:rFonts w:ascii="Times New Roman" w:hAnsi="Times New Roman" w:cs="Times New Roman"/>
          <w:sz w:val="24"/>
          <w:szCs w:val="24"/>
        </w:rPr>
        <w:t>DOMLEC experienced a 0.9 percent drop in gross generation in 2013. This was followed by corresponding drops in net generation and energy sold by 0.74% and 0.86% in 2013, respectively.</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From 2014, the</w:t>
      </w:r>
      <w:r w:rsidR="003E1BC8">
        <w:rPr>
          <w:rFonts w:ascii="Times New Roman" w:hAnsi="Times New Roman" w:cs="Times New Roman"/>
          <w:sz w:val="24"/>
          <w:szCs w:val="24"/>
        </w:rPr>
        <w:t>re</w:t>
      </w:r>
      <w:r>
        <w:rPr>
          <w:rFonts w:ascii="Times New Roman" w:hAnsi="Times New Roman" w:cs="Times New Roman"/>
          <w:sz w:val="24"/>
          <w:szCs w:val="24"/>
        </w:rPr>
        <w:t xml:space="preserve"> </w:t>
      </w:r>
      <w:r w:rsidR="003E1BC8">
        <w:rPr>
          <w:rFonts w:ascii="Times New Roman" w:hAnsi="Times New Roman" w:cs="Times New Roman"/>
          <w:sz w:val="24"/>
          <w:szCs w:val="24"/>
        </w:rPr>
        <w:t xml:space="preserve">was a steady increase in </w:t>
      </w:r>
      <w:r>
        <w:rPr>
          <w:rFonts w:ascii="Times New Roman" w:hAnsi="Times New Roman" w:cs="Times New Roman"/>
          <w:sz w:val="24"/>
          <w:szCs w:val="24"/>
        </w:rPr>
        <w:t>overall gross and net generation</w:t>
      </w:r>
      <w:r w:rsidR="003E1BC8">
        <w:rPr>
          <w:rFonts w:ascii="Times New Roman" w:hAnsi="Times New Roman" w:cs="Times New Roman"/>
          <w:sz w:val="24"/>
          <w:szCs w:val="24"/>
        </w:rPr>
        <w:t xml:space="preserve">, </w:t>
      </w:r>
      <w:r>
        <w:rPr>
          <w:rFonts w:ascii="Times New Roman" w:hAnsi="Times New Roman" w:cs="Times New Roman"/>
          <w:sz w:val="24"/>
          <w:szCs w:val="24"/>
        </w:rPr>
        <w:t xml:space="preserve">with corresponding increases in the energy sold. </w:t>
      </w:r>
    </w:p>
    <w:p w:rsidR="00976F69" w:rsidRDefault="00976F69"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 xml:space="preserve">Overall, this shows that the company experienced </w:t>
      </w:r>
      <w:r w:rsidR="00976F69">
        <w:rPr>
          <w:rFonts w:ascii="Times New Roman" w:hAnsi="Times New Roman" w:cs="Times New Roman"/>
          <w:sz w:val="24"/>
          <w:szCs w:val="24"/>
        </w:rPr>
        <w:t xml:space="preserve">positive </w:t>
      </w:r>
      <w:r>
        <w:rPr>
          <w:rFonts w:ascii="Times New Roman" w:hAnsi="Times New Roman" w:cs="Times New Roman"/>
          <w:sz w:val="24"/>
          <w:szCs w:val="24"/>
        </w:rPr>
        <w:t xml:space="preserve">growth in demand over the last three years </w:t>
      </w:r>
      <w:r w:rsidR="00976F69">
        <w:rPr>
          <w:rFonts w:ascii="Times New Roman" w:hAnsi="Times New Roman" w:cs="Times New Roman"/>
          <w:sz w:val="24"/>
          <w:szCs w:val="24"/>
        </w:rPr>
        <w:t xml:space="preserve">(2014 to 2016) </w:t>
      </w:r>
      <w:r>
        <w:rPr>
          <w:rFonts w:ascii="Times New Roman" w:hAnsi="Times New Roman" w:cs="Times New Roman"/>
          <w:sz w:val="24"/>
          <w:szCs w:val="24"/>
        </w:rPr>
        <w:t xml:space="preserve">that would translate to </w:t>
      </w:r>
      <w:r w:rsidR="00C45927">
        <w:rPr>
          <w:rFonts w:ascii="Times New Roman" w:hAnsi="Times New Roman" w:cs="Times New Roman"/>
          <w:sz w:val="24"/>
          <w:szCs w:val="24"/>
        </w:rPr>
        <w:t xml:space="preserve">an improvement in </w:t>
      </w:r>
      <w:r>
        <w:rPr>
          <w:rFonts w:ascii="Times New Roman" w:hAnsi="Times New Roman" w:cs="Times New Roman"/>
          <w:sz w:val="24"/>
          <w:szCs w:val="24"/>
        </w:rPr>
        <w:t>its financial well being.</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A 10.3% increase in energy sales</w:t>
      </w:r>
      <w:r w:rsidR="00976F69">
        <w:rPr>
          <w:rFonts w:ascii="Times New Roman" w:hAnsi="Times New Roman" w:cs="Times New Roman"/>
          <w:sz w:val="24"/>
          <w:szCs w:val="24"/>
        </w:rPr>
        <w:t xml:space="preserve"> was realized over the period 2012 to 2016</w:t>
      </w:r>
      <w:r>
        <w:rPr>
          <w:rFonts w:ascii="Times New Roman" w:hAnsi="Times New Roman" w:cs="Times New Roman"/>
          <w:sz w:val="24"/>
          <w:szCs w:val="24"/>
        </w:rPr>
        <w:t>.</w:t>
      </w:r>
      <w:r w:rsidR="00584500">
        <w:rPr>
          <w:rFonts w:ascii="Times New Roman" w:hAnsi="Times New Roman" w:cs="Times New Roman"/>
          <w:sz w:val="24"/>
          <w:szCs w:val="24"/>
        </w:rPr>
        <w:t xml:space="preserve"> This increase in energy sales is not ne</w:t>
      </w:r>
      <w:r w:rsidR="00976F69">
        <w:rPr>
          <w:rFonts w:ascii="Times New Roman" w:hAnsi="Times New Roman" w:cs="Times New Roman"/>
          <w:sz w:val="24"/>
          <w:szCs w:val="24"/>
        </w:rPr>
        <w:t>cessarily restricted to only an</w:t>
      </w:r>
      <w:r w:rsidR="00584500">
        <w:rPr>
          <w:rFonts w:ascii="Times New Roman" w:hAnsi="Times New Roman" w:cs="Times New Roman"/>
          <w:sz w:val="24"/>
          <w:szCs w:val="24"/>
        </w:rPr>
        <w:t xml:space="preserve"> increase in </w:t>
      </w:r>
      <w:r w:rsidR="00976F69">
        <w:rPr>
          <w:rFonts w:ascii="Times New Roman" w:hAnsi="Times New Roman" w:cs="Times New Roman"/>
          <w:sz w:val="24"/>
          <w:szCs w:val="24"/>
        </w:rPr>
        <w:t xml:space="preserve">energy </w:t>
      </w:r>
      <w:r w:rsidR="00584500">
        <w:rPr>
          <w:rFonts w:ascii="Times New Roman" w:hAnsi="Times New Roman" w:cs="Times New Roman"/>
          <w:sz w:val="24"/>
          <w:szCs w:val="24"/>
        </w:rPr>
        <w:t>consumption. The price of oil dropped significantly in 2015. As such, customers that stuck to their normal purchase received more energy for the same price as compared to previous years when the fuel cost was higher. This is primarily responsible for the steep increase in energy sales</w:t>
      </w:r>
      <w:r w:rsidR="00976F69">
        <w:rPr>
          <w:rFonts w:ascii="Times New Roman" w:hAnsi="Times New Roman" w:cs="Times New Roman"/>
          <w:sz w:val="24"/>
          <w:szCs w:val="24"/>
        </w:rPr>
        <w:t xml:space="preserve"> in 2015 and 2016</w:t>
      </w:r>
      <w:r w:rsidR="00584500">
        <w:rPr>
          <w:rFonts w:ascii="Times New Roman" w:hAnsi="Times New Roman" w:cs="Times New Roman"/>
          <w:sz w:val="24"/>
          <w:szCs w:val="24"/>
        </w:rPr>
        <w:t>.</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b/>
          <w:sz w:val="24"/>
          <w:szCs w:val="24"/>
        </w:rPr>
      </w:pPr>
    </w:p>
    <w:p w:rsidR="00B74398" w:rsidRDefault="00B74398" w:rsidP="00B74398">
      <w:pPr>
        <w:rPr>
          <w:rFonts w:ascii="Times New Roman" w:hAnsi="Times New Roman" w:cs="Times New Roman"/>
          <w:b/>
          <w:sz w:val="24"/>
          <w:szCs w:val="24"/>
        </w:rPr>
      </w:pPr>
    </w:p>
    <w:p w:rsidR="00B74398" w:rsidRDefault="00B74398" w:rsidP="00B74398">
      <w:pPr>
        <w:rPr>
          <w:rFonts w:ascii="Times New Roman" w:hAnsi="Times New Roman" w:cs="Times New Roman"/>
          <w:b/>
          <w:sz w:val="24"/>
          <w:szCs w:val="24"/>
        </w:rPr>
      </w:pPr>
    </w:p>
    <w:p w:rsidR="00B74398" w:rsidRDefault="00B74398" w:rsidP="00B74398">
      <w:pPr>
        <w:rPr>
          <w:rFonts w:ascii="Times New Roman" w:hAnsi="Times New Roman" w:cs="Times New Roman"/>
          <w:b/>
          <w:sz w:val="24"/>
          <w:szCs w:val="24"/>
        </w:rPr>
      </w:pPr>
    </w:p>
    <w:p w:rsidR="00B74398" w:rsidRDefault="00B74398" w:rsidP="00B74398">
      <w:pPr>
        <w:rPr>
          <w:rFonts w:ascii="Times New Roman" w:hAnsi="Times New Roman" w:cs="Times New Roman"/>
          <w:b/>
          <w:sz w:val="24"/>
          <w:szCs w:val="24"/>
        </w:rPr>
      </w:pPr>
    </w:p>
    <w:p w:rsidR="00C45927" w:rsidRDefault="00C45927" w:rsidP="00B74398">
      <w:pPr>
        <w:rPr>
          <w:rFonts w:ascii="Times New Roman" w:hAnsi="Times New Roman" w:cs="Times New Roman"/>
          <w:b/>
          <w:sz w:val="24"/>
          <w:szCs w:val="24"/>
        </w:rPr>
      </w:pPr>
    </w:p>
    <w:p w:rsidR="00B74398" w:rsidRDefault="00B74398" w:rsidP="00B74398">
      <w:pPr>
        <w:rPr>
          <w:rFonts w:ascii="Times New Roman" w:hAnsi="Times New Roman" w:cs="Times New Roman"/>
          <w:b/>
          <w:sz w:val="24"/>
          <w:szCs w:val="24"/>
        </w:rPr>
      </w:pPr>
    </w:p>
    <w:p w:rsidR="00B74398" w:rsidRDefault="00B74398" w:rsidP="00B74398">
      <w:pPr>
        <w:rPr>
          <w:rFonts w:ascii="Times New Roman" w:hAnsi="Times New Roman" w:cs="Times New Roman"/>
          <w:b/>
          <w:sz w:val="24"/>
          <w:szCs w:val="24"/>
        </w:rPr>
      </w:pPr>
    </w:p>
    <w:p w:rsidR="00B74398" w:rsidRDefault="00B74398" w:rsidP="00B74398">
      <w:pPr>
        <w:rPr>
          <w:rFonts w:ascii="Times New Roman" w:hAnsi="Times New Roman" w:cs="Times New Roman"/>
          <w:b/>
          <w:sz w:val="24"/>
          <w:szCs w:val="24"/>
        </w:rPr>
      </w:pPr>
    </w:p>
    <w:p w:rsidR="00B74398" w:rsidRPr="00C45927" w:rsidRDefault="00B74398" w:rsidP="00D72ABE">
      <w:pPr>
        <w:pStyle w:val="Heading2"/>
        <w:rPr>
          <w:rFonts w:ascii="Times New Roman" w:hAnsi="Times New Roman" w:cs="Times New Roman"/>
          <w:color w:val="000000" w:themeColor="text1"/>
          <w:sz w:val="24"/>
          <w:szCs w:val="24"/>
        </w:rPr>
      </w:pPr>
      <w:bookmarkStart w:id="34" w:name="_Toc485128765"/>
      <w:r w:rsidRPr="00C45927">
        <w:rPr>
          <w:rFonts w:ascii="Times New Roman" w:hAnsi="Times New Roman" w:cs="Times New Roman"/>
          <w:color w:val="000000" w:themeColor="text1"/>
          <w:sz w:val="24"/>
          <w:szCs w:val="24"/>
        </w:rPr>
        <w:lastRenderedPageBreak/>
        <w:t>f. Capacity and Load Factors</w:t>
      </w:r>
      <w:bookmarkEnd w:id="34"/>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sidRPr="00EE16A3">
        <w:rPr>
          <w:rFonts w:ascii="Times New Roman" w:hAnsi="Times New Roman" w:cs="Times New Roman"/>
          <w:noProof/>
          <w:sz w:val="24"/>
          <w:szCs w:val="24"/>
        </w:rPr>
        <w:drawing>
          <wp:inline distT="0" distB="0" distL="0" distR="0">
            <wp:extent cx="5943600" cy="3138407"/>
            <wp:effectExtent l="0" t="0" r="0" b="0"/>
            <wp:docPr id="3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p>
    <w:p w:rsidR="00B74398" w:rsidRPr="00966817" w:rsidRDefault="00B74398" w:rsidP="00B74398">
      <w:pPr>
        <w:rPr>
          <w:rFonts w:ascii="Times New Roman" w:hAnsi="Times New Roman" w:cs="Times New Roman"/>
          <w:b/>
          <w:sz w:val="24"/>
          <w:szCs w:val="24"/>
        </w:rPr>
      </w:pPr>
      <w:r w:rsidRPr="00966817">
        <w:rPr>
          <w:rFonts w:ascii="Times New Roman" w:hAnsi="Times New Roman" w:cs="Times New Roman"/>
          <w:b/>
          <w:sz w:val="24"/>
          <w:szCs w:val="24"/>
        </w:rPr>
        <w:t>Capacity Factor</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 xml:space="preserve">The net Capacity Factor represented by the color </w:t>
      </w:r>
      <w:r w:rsidR="001E7524">
        <w:rPr>
          <w:rFonts w:ascii="Times New Roman" w:hAnsi="Times New Roman" w:cs="Times New Roman"/>
          <w:sz w:val="24"/>
          <w:szCs w:val="24"/>
        </w:rPr>
        <w:t>blue</w:t>
      </w:r>
      <w:r w:rsidR="00C45927">
        <w:rPr>
          <w:rFonts w:ascii="Times New Roman" w:hAnsi="Times New Roman" w:cs="Times New Roman"/>
          <w:sz w:val="24"/>
          <w:szCs w:val="24"/>
        </w:rPr>
        <w:t xml:space="preserve"> in figure 6 above </w:t>
      </w:r>
      <w:r>
        <w:rPr>
          <w:rFonts w:ascii="Times New Roman" w:hAnsi="Times New Roman" w:cs="Times New Roman"/>
          <w:sz w:val="24"/>
          <w:szCs w:val="24"/>
        </w:rPr>
        <w:t>is the ratio of the generation plant output over a period of time, to its potential output if it were possible for it to operate at full nameplate capacity continuously over the same period of time.</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 xml:space="preserve">This quantity </w:t>
      </w:r>
      <w:r w:rsidR="00077464">
        <w:rPr>
          <w:rFonts w:ascii="Times New Roman" w:hAnsi="Times New Roman" w:cs="Times New Roman"/>
          <w:sz w:val="24"/>
          <w:szCs w:val="24"/>
        </w:rPr>
        <w:t>can vary depending on numerous</w:t>
      </w:r>
      <w:r>
        <w:rPr>
          <w:rFonts w:ascii="Times New Roman" w:hAnsi="Times New Roman" w:cs="Times New Roman"/>
          <w:sz w:val="24"/>
          <w:szCs w:val="24"/>
        </w:rPr>
        <w:t xml:space="preserve"> factors</w:t>
      </w:r>
      <w:r w:rsidR="00C45927">
        <w:rPr>
          <w:rFonts w:ascii="Times New Roman" w:hAnsi="Times New Roman" w:cs="Times New Roman"/>
          <w:sz w:val="24"/>
          <w:szCs w:val="24"/>
        </w:rPr>
        <w:t>,</w:t>
      </w:r>
      <w:r>
        <w:rPr>
          <w:rFonts w:ascii="Times New Roman" w:hAnsi="Times New Roman" w:cs="Times New Roman"/>
          <w:sz w:val="24"/>
          <w:szCs w:val="24"/>
        </w:rPr>
        <w:t xml:space="preserve"> ranging from design of the installation, fuel type, location and type of electricity production. It can also include downtime due to reliability,</w:t>
      </w:r>
      <w:r w:rsidR="00C45927">
        <w:rPr>
          <w:rFonts w:ascii="Times New Roman" w:hAnsi="Times New Roman" w:cs="Times New Roman"/>
          <w:sz w:val="24"/>
          <w:szCs w:val="24"/>
        </w:rPr>
        <w:t xml:space="preserve"> or</w:t>
      </w:r>
      <w:r>
        <w:rPr>
          <w:rFonts w:ascii="Times New Roman" w:hAnsi="Times New Roman" w:cs="Times New Roman"/>
          <w:sz w:val="24"/>
          <w:szCs w:val="24"/>
        </w:rPr>
        <w:t xml:space="preserve"> scheduled and unscheduled maintenance. Thus, it is computed over the period of one year.</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DOMLEC’s capacity factors over the period are within the range expected for diesel/hydro combination power plant and are typical of the same.</w:t>
      </w:r>
    </w:p>
    <w:p w:rsidR="00B74398" w:rsidRDefault="00B74398" w:rsidP="00B74398">
      <w:pPr>
        <w:rPr>
          <w:rFonts w:ascii="Times New Roman" w:hAnsi="Times New Roman" w:cs="Times New Roman"/>
          <w:sz w:val="24"/>
          <w:szCs w:val="24"/>
        </w:rPr>
      </w:pPr>
    </w:p>
    <w:p w:rsidR="00B74398" w:rsidRPr="00966817" w:rsidRDefault="00B74398" w:rsidP="00B74398">
      <w:pPr>
        <w:rPr>
          <w:rFonts w:ascii="Times New Roman" w:hAnsi="Times New Roman" w:cs="Times New Roman"/>
          <w:b/>
          <w:sz w:val="24"/>
          <w:szCs w:val="24"/>
        </w:rPr>
      </w:pPr>
      <w:r w:rsidRPr="00966817">
        <w:rPr>
          <w:rFonts w:ascii="Times New Roman" w:hAnsi="Times New Roman" w:cs="Times New Roman"/>
          <w:b/>
          <w:sz w:val="24"/>
          <w:szCs w:val="24"/>
        </w:rPr>
        <w:t>Load Factor</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 xml:space="preserve">The Load Factor is defined as the average load divided by the peak load over a specified period of time. A high load factor means that power usage is relatively constant while a low load factor shows that occasionally a high demand is set. </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 xml:space="preserve">Its value is always less than </w:t>
      </w:r>
      <w:r w:rsidR="00C45927">
        <w:rPr>
          <w:rFonts w:ascii="Times New Roman" w:hAnsi="Times New Roman" w:cs="Times New Roman"/>
          <w:sz w:val="24"/>
          <w:szCs w:val="24"/>
        </w:rPr>
        <w:t>one (</w:t>
      </w:r>
      <w:r>
        <w:rPr>
          <w:rFonts w:ascii="Times New Roman" w:hAnsi="Times New Roman" w:cs="Times New Roman"/>
          <w:sz w:val="24"/>
          <w:szCs w:val="24"/>
        </w:rPr>
        <w:t>1</w:t>
      </w:r>
      <w:r w:rsidR="00C45927">
        <w:rPr>
          <w:rFonts w:ascii="Times New Roman" w:hAnsi="Times New Roman" w:cs="Times New Roman"/>
          <w:sz w:val="24"/>
          <w:szCs w:val="24"/>
        </w:rPr>
        <w:t xml:space="preserve">), </w:t>
      </w:r>
      <w:r>
        <w:rPr>
          <w:rFonts w:ascii="Times New Roman" w:hAnsi="Times New Roman" w:cs="Times New Roman"/>
          <w:sz w:val="24"/>
          <w:szCs w:val="24"/>
        </w:rPr>
        <w:t xml:space="preserve">as maximum demand is always higher than average demand. </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 xml:space="preserve">DOMLEC seems to be maintaining its Load Factor within the accepted limits for the type of plant </w:t>
      </w:r>
      <w:r w:rsidR="00C45927">
        <w:rPr>
          <w:rFonts w:ascii="Times New Roman" w:hAnsi="Times New Roman" w:cs="Times New Roman"/>
          <w:sz w:val="24"/>
          <w:szCs w:val="24"/>
        </w:rPr>
        <w:t>that it operates as shown in f</w:t>
      </w:r>
      <w:r>
        <w:rPr>
          <w:rFonts w:ascii="Times New Roman" w:hAnsi="Times New Roman" w:cs="Times New Roman"/>
          <w:sz w:val="24"/>
          <w:szCs w:val="24"/>
        </w:rPr>
        <w:t>igure 6 above.</w:t>
      </w:r>
    </w:p>
    <w:p w:rsidR="00B74398" w:rsidRDefault="00B74398" w:rsidP="00B74398">
      <w:pPr>
        <w:rPr>
          <w:rFonts w:ascii="Times New Roman" w:hAnsi="Times New Roman" w:cs="Times New Roman"/>
          <w:sz w:val="24"/>
          <w:szCs w:val="24"/>
        </w:rPr>
      </w:pPr>
    </w:p>
    <w:p w:rsidR="00B74398" w:rsidRPr="00C45927" w:rsidRDefault="00B74398" w:rsidP="00D72ABE">
      <w:pPr>
        <w:pStyle w:val="Heading2"/>
        <w:rPr>
          <w:rFonts w:ascii="Times New Roman" w:hAnsi="Times New Roman" w:cs="Times New Roman"/>
          <w:color w:val="000000" w:themeColor="text1"/>
          <w:sz w:val="24"/>
          <w:szCs w:val="24"/>
        </w:rPr>
      </w:pPr>
      <w:bookmarkStart w:id="35" w:name="_Toc485128766"/>
      <w:r w:rsidRPr="00C45927">
        <w:rPr>
          <w:rFonts w:ascii="Times New Roman" w:hAnsi="Times New Roman" w:cs="Times New Roman"/>
          <w:color w:val="000000" w:themeColor="text1"/>
          <w:sz w:val="24"/>
          <w:szCs w:val="24"/>
        </w:rPr>
        <w:lastRenderedPageBreak/>
        <w:t>g. Ratio of Firm Capacity over Peak Demand.</w:t>
      </w:r>
      <w:bookmarkEnd w:id="35"/>
    </w:p>
    <w:p w:rsidR="00B74398" w:rsidRDefault="00B74398" w:rsidP="00B74398">
      <w:pPr>
        <w:rPr>
          <w:rFonts w:ascii="Times New Roman" w:hAnsi="Times New Roman" w:cs="Times New Roman"/>
          <w:sz w:val="24"/>
          <w:szCs w:val="24"/>
        </w:rPr>
      </w:pPr>
    </w:p>
    <w:tbl>
      <w:tblPr>
        <w:tblStyle w:val="TableGrid"/>
        <w:tblW w:w="0" w:type="auto"/>
        <w:tblInd w:w="108" w:type="dxa"/>
        <w:tblLook w:val="04A0"/>
      </w:tblPr>
      <w:tblGrid>
        <w:gridCol w:w="1488"/>
        <w:gridCol w:w="1596"/>
        <w:gridCol w:w="1596"/>
        <w:gridCol w:w="1596"/>
        <w:gridCol w:w="1596"/>
        <w:gridCol w:w="1488"/>
      </w:tblGrid>
      <w:tr w:rsidR="00362DD0" w:rsidTr="00362DD0">
        <w:tc>
          <w:tcPr>
            <w:tcW w:w="1488"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Year</w:t>
            </w:r>
          </w:p>
        </w:tc>
        <w:tc>
          <w:tcPr>
            <w:tcW w:w="1596"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2012</w:t>
            </w:r>
          </w:p>
        </w:tc>
        <w:tc>
          <w:tcPr>
            <w:tcW w:w="1596"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2013</w:t>
            </w:r>
          </w:p>
        </w:tc>
        <w:tc>
          <w:tcPr>
            <w:tcW w:w="1596"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2014</w:t>
            </w:r>
          </w:p>
        </w:tc>
        <w:tc>
          <w:tcPr>
            <w:tcW w:w="1596"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2015</w:t>
            </w:r>
          </w:p>
        </w:tc>
        <w:tc>
          <w:tcPr>
            <w:tcW w:w="1488"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2016</w:t>
            </w:r>
          </w:p>
        </w:tc>
      </w:tr>
      <w:tr w:rsidR="00362DD0" w:rsidTr="00362DD0">
        <w:tc>
          <w:tcPr>
            <w:tcW w:w="1488"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Ratio</w:t>
            </w:r>
          </w:p>
        </w:tc>
        <w:tc>
          <w:tcPr>
            <w:tcW w:w="1596"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1.05</w:t>
            </w:r>
          </w:p>
        </w:tc>
        <w:tc>
          <w:tcPr>
            <w:tcW w:w="1596"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1.03</w:t>
            </w:r>
          </w:p>
        </w:tc>
        <w:tc>
          <w:tcPr>
            <w:tcW w:w="1596"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1.01</w:t>
            </w:r>
          </w:p>
        </w:tc>
        <w:tc>
          <w:tcPr>
            <w:tcW w:w="1596"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1.01</w:t>
            </w:r>
          </w:p>
        </w:tc>
        <w:tc>
          <w:tcPr>
            <w:tcW w:w="1488" w:type="dxa"/>
          </w:tcPr>
          <w:p w:rsidR="00362DD0" w:rsidRDefault="00362DD0" w:rsidP="00B74398">
            <w:pPr>
              <w:rPr>
                <w:rFonts w:ascii="Times New Roman" w:hAnsi="Times New Roman" w:cs="Times New Roman"/>
                <w:sz w:val="24"/>
                <w:szCs w:val="24"/>
              </w:rPr>
            </w:pPr>
            <w:r>
              <w:rPr>
                <w:rFonts w:ascii="Times New Roman" w:hAnsi="Times New Roman" w:cs="Times New Roman"/>
                <w:sz w:val="24"/>
                <w:szCs w:val="24"/>
              </w:rPr>
              <w:t>1.02</w:t>
            </w:r>
          </w:p>
        </w:tc>
      </w:tr>
    </w:tbl>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 xml:space="preserve"> </w:t>
      </w: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As can be seen</w:t>
      </w:r>
      <w:r w:rsidR="00E12758">
        <w:rPr>
          <w:rFonts w:ascii="Times New Roman" w:hAnsi="Times New Roman" w:cs="Times New Roman"/>
          <w:sz w:val="24"/>
          <w:szCs w:val="24"/>
        </w:rPr>
        <w:t>,</w:t>
      </w:r>
      <w:r>
        <w:rPr>
          <w:rFonts w:ascii="Times New Roman" w:hAnsi="Times New Roman" w:cs="Times New Roman"/>
          <w:sz w:val="24"/>
          <w:szCs w:val="24"/>
        </w:rPr>
        <w:t xml:space="preserve"> over t</w:t>
      </w:r>
      <w:r w:rsidR="00DB40F6">
        <w:rPr>
          <w:rFonts w:ascii="Times New Roman" w:hAnsi="Times New Roman" w:cs="Times New Roman"/>
          <w:sz w:val="24"/>
          <w:szCs w:val="24"/>
        </w:rPr>
        <w:t xml:space="preserve">he period </w:t>
      </w:r>
      <w:r w:rsidR="00E12758">
        <w:rPr>
          <w:rFonts w:ascii="Times New Roman" w:hAnsi="Times New Roman" w:cs="Times New Roman"/>
          <w:sz w:val="24"/>
          <w:szCs w:val="24"/>
        </w:rPr>
        <w:t xml:space="preserve">2012 to 2016 </w:t>
      </w:r>
      <w:r w:rsidR="00DB40F6">
        <w:rPr>
          <w:rFonts w:ascii="Times New Roman" w:hAnsi="Times New Roman" w:cs="Times New Roman"/>
          <w:sz w:val="24"/>
          <w:szCs w:val="24"/>
        </w:rPr>
        <w:t>there is a slight</w:t>
      </w:r>
      <w:r>
        <w:rPr>
          <w:rFonts w:ascii="Times New Roman" w:hAnsi="Times New Roman" w:cs="Times New Roman"/>
          <w:sz w:val="24"/>
          <w:szCs w:val="24"/>
        </w:rPr>
        <w:t xml:space="preserve"> decrease in firm capacity over peak demand</w:t>
      </w:r>
      <w:r w:rsidR="00E12758">
        <w:rPr>
          <w:rFonts w:ascii="Times New Roman" w:hAnsi="Times New Roman" w:cs="Times New Roman"/>
          <w:sz w:val="24"/>
          <w:szCs w:val="24"/>
        </w:rPr>
        <w:t>,</w:t>
      </w:r>
      <w:r w:rsidR="00DB40F6">
        <w:rPr>
          <w:rFonts w:ascii="Times New Roman" w:hAnsi="Times New Roman" w:cs="Times New Roman"/>
          <w:sz w:val="24"/>
          <w:szCs w:val="24"/>
        </w:rPr>
        <w:t xml:space="preserve"> from 1.05 to 1.02</w:t>
      </w:r>
      <w:r>
        <w:rPr>
          <w:rFonts w:ascii="Times New Roman" w:hAnsi="Times New Roman" w:cs="Times New Roman"/>
          <w:sz w:val="24"/>
          <w:szCs w:val="24"/>
        </w:rPr>
        <w:t>. It demonstrates that DOMLEC</w:t>
      </w:r>
      <w:r w:rsidR="00DB40F6">
        <w:rPr>
          <w:rFonts w:ascii="Times New Roman" w:hAnsi="Times New Roman" w:cs="Times New Roman"/>
          <w:sz w:val="24"/>
          <w:szCs w:val="24"/>
        </w:rPr>
        <w:t>’s</w:t>
      </w:r>
      <w:r>
        <w:rPr>
          <w:rFonts w:ascii="Times New Roman" w:hAnsi="Times New Roman" w:cs="Times New Roman"/>
          <w:sz w:val="24"/>
          <w:szCs w:val="24"/>
        </w:rPr>
        <w:t xml:space="preserve"> capacity to meet the peak dropped f</w:t>
      </w:r>
      <w:r w:rsidR="00E12758">
        <w:rPr>
          <w:rFonts w:ascii="Times New Roman" w:hAnsi="Times New Roman" w:cs="Times New Roman"/>
          <w:sz w:val="24"/>
          <w:szCs w:val="24"/>
        </w:rPr>
        <w:t>rom 2012 to 2014 (by 3.96%) and increased from 2014 to 2016</w:t>
      </w:r>
      <w:r>
        <w:rPr>
          <w:rFonts w:ascii="Times New Roman" w:hAnsi="Times New Roman" w:cs="Times New Roman"/>
          <w:sz w:val="24"/>
          <w:szCs w:val="24"/>
        </w:rPr>
        <w:t xml:space="preserve"> </w:t>
      </w:r>
      <w:r w:rsidR="00E12758">
        <w:rPr>
          <w:rFonts w:ascii="Times New Roman" w:hAnsi="Times New Roman" w:cs="Times New Roman"/>
          <w:sz w:val="24"/>
          <w:szCs w:val="24"/>
        </w:rPr>
        <w:t>(by 0.98%).</w:t>
      </w:r>
    </w:p>
    <w:p w:rsidR="00E30D56" w:rsidRDefault="00E30D56"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p>
    <w:p w:rsidR="00B74398" w:rsidRDefault="00DB40F6" w:rsidP="00B74398">
      <w:pPr>
        <w:rPr>
          <w:rFonts w:ascii="Times New Roman" w:hAnsi="Times New Roman" w:cs="Times New Roman"/>
          <w:sz w:val="24"/>
          <w:szCs w:val="24"/>
        </w:rPr>
      </w:pPr>
      <w:r>
        <w:rPr>
          <w:rFonts w:ascii="Times New Roman" w:hAnsi="Times New Roman" w:cs="Times New Roman"/>
          <w:sz w:val="24"/>
          <w:szCs w:val="24"/>
        </w:rPr>
        <w:t>This ratio is close to 1:1</w:t>
      </w:r>
      <w:r w:rsidR="00E12758">
        <w:rPr>
          <w:rFonts w:ascii="Times New Roman" w:hAnsi="Times New Roman" w:cs="Times New Roman"/>
          <w:sz w:val="24"/>
          <w:szCs w:val="24"/>
        </w:rPr>
        <w:t xml:space="preserve"> which indicates </w:t>
      </w:r>
      <w:r w:rsidR="00B74398">
        <w:rPr>
          <w:rFonts w:ascii="Times New Roman" w:hAnsi="Times New Roman" w:cs="Times New Roman"/>
          <w:sz w:val="24"/>
          <w:szCs w:val="24"/>
        </w:rPr>
        <w:t>that DOMLEC can barely meet the peak demand. However, by working closely with the IRC, DOMLEC has in place a contingency plan that in the event of any significant shortfall in their generation capacity, the first course of action is to allow the biggest customers who can self-generate to come off the grid. This has proven very effective over the period.</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With the establishment of the proposed 7MW geothermal plant by 2020, this ratio should increase.</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This ratio can be used to represent security of supply by indicating that there is enough supply to meet the expected demand.</w:t>
      </w:r>
    </w:p>
    <w:p w:rsidR="00B74398" w:rsidRDefault="00B74398" w:rsidP="00B74398">
      <w:pPr>
        <w:rPr>
          <w:rFonts w:ascii="Times New Roman" w:hAnsi="Times New Roman" w:cs="Times New Roman"/>
          <w:sz w:val="24"/>
          <w:szCs w:val="24"/>
        </w:rPr>
      </w:pPr>
    </w:p>
    <w:p w:rsidR="00B74398" w:rsidRPr="00E12758" w:rsidRDefault="00B74398" w:rsidP="00D72ABE">
      <w:pPr>
        <w:pStyle w:val="Heading2"/>
        <w:rPr>
          <w:rFonts w:ascii="Times New Roman" w:hAnsi="Times New Roman" w:cs="Times New Roman"/>
          <w:color w:val="000000" w:themeColor="text1"/>
          <w:sz w:val="24"/>
          <w:szCs w:val="24"/>
        </w:rPr>
      </w:pPr>
      <w:bookmarkStart w:id="36" w:name="_Toc485128767"/>
      <w:r w:rsidRPr="00E12758">
        <w:rPr>
          <w:rFonts w:ascii="Times New Roman" w:hAnsi="Times New Roman" w:cs="Times New Roman"/>
          <w:color w:val="000000" w:themeColor="text1"/>
          <w:sz w:val="24"/>
          <w:szCs w:val="24"/>
        </w:rPr>
        <w:t>h. Thermal Generation Specific Fuel Consumption</w:t>
      </w:r>
      <w:bookmarkEnd w:id="36"/>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sidRPr="007A7710">
        <w:rPr>
          <w:rFonts w:ascii="Times New Roman" w:hAnsi="Times New Roman" w:cs="Times New Roman"/>
          <w:noProof/>
          <w:sz w:val="24"/>
          <w:szCs w:val="24"/>
        </w:rPr>
        <w:drawing>
          <wp:inline distT="0" distB="0" distL="0" distR="0">
            <wp:extent cx="5940078" cy="2812356"/>
            <wp:effectExtent l="0" t="0" r="0" b="0"/>
            <wp:docPr id="3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Figure 8 depicts the trend in average specific fuel consumption for DOMLEC’s diesel plan</w:t>
      </w:r>
      <w:r w:rsidR="00E12758">
        <w:rPr>
          <w:rFonts w:ascii="Times New Roman" w:hAnsi="Times New Roman" w:cs="Times New Roman"/>
          <w:sz w:val="24"/>
          <w:szCs w:val="24"/>
        </w:rPr>
        <w:t xml:space="preserve">t over the five year period. </w:t>
      </w:r>
      <w:r>
        <w:rPr>
          <w:rFonts w:ascii="Times New Roman" w:hAnsi="Times New Roman" w:cs="Times New Roman"/>
          <w:sz w:val="24"/>
          <w:szCs w:val="24"/>
        </w:rPr>
        <w:t>DOMLEC’</w:t>
      </w:r>
      <w:r w:rsidR="00E12758">
        <w:rPr>
          <w:rFonts w:ascii="Times New Roman" w:hAnsi="Times New Roman" w:cs="Times New Roman"/>
          <w:sz w:val="24"/>
          <w:szCs w:val="24"/>
        </w:rPr>
        <w:t>s generation license speci</w:t>
      </w:r>
      <w:r w:rsidR="00C73AC3">
        <w:rPr>
          <w:rFonts w:ascii="Times New Roman" w:hAnsi="Times New Roman" w:cs="Times New Roman"/>
          <w:sz w:val="24"/>
          <w:szCs w:val="24"/>
        </w:rPr>
        <w:t>fi</w:t>
      </w:r>
      <w:r w:rsidR="00E12758">
        <w:rPr>
          <w:rFonts w:ascii="Times New Roman" w:hAnsi="Times New Roman" w:cs="Times New Roman"/>
          <w:sz w:val="24"/>
          <w:szCs w:val="24"/>
        </w:rPr>
        <w:t>es that it</w:t>
      </w:r>
      <w:r>
        <w:rPr>
          <w:rFonts w:ascii="Times New Roman" w:hAnsi="Times New Roman" w:cs="Times New Roman"/>
          <w:sz w:val="24"/>
          <w:szCs w:val="24"/>
        </w:rPr>
        <w:t xml:space="preserve"> should maintain its </w:t>
      </w:r>
      <w:r w:rsidR="00E12758">
        <w:rPr>
          <w:rFonts w:ascii="Times New Roman" w:hAnsi="Times New Roman" w:cs="Times New Roman"/>
          <w:sz w:val="24"/>
          <w:szCs w:val="24"/>
        </w:rPr>
        <w:t xml:space="preserve">thermal plant fuel efficiency </w:t>
      </w:r>
      <w:r w:rsidR="004267E6">
        <w:rPr>
          <w:rFonts w:ascii="Times New Roman" w:hAnsi="Times New Roman" w:cs="Times New Roman"/>
          <w:sz w:val="24"/>
          <w:szCs w:val="24"/>
        </w:rPr>
        <w:t xml:space="preserve">at </w:t>
      </w:r>
      <w:r>
        <w:rPr>
          <w:rFonts w:ascii="Times New Roman" w:hAnsi="Times New Roman" w:cs="Times New Roman"/>
          <w:sz w:val="24"/>
          <w:szCs w:val="24"/>
        </w:rPr>
        <w:t>n</w:t>
      </w:r>
      <w:r w:rsidR="00873018">
        <w:rPr>
          <w:rFonts w:ascii="Times New Roman" w:hAnsi="Times New Roman" w:cs="Times New Roman"/>
          <w:sz w:val="24"/>
          <w:szCs w:val="24"/>
        </w:rPr>
        <w:t>o less than 17.25 kWh/Imperial g</w:t>
      </w:r>
      <w:r>
        <w:rPr>
          <w:rFonts w:ascii="Times New Roman" w:hAnsi="Times New Roman" w:cs="Times New Roman"/>
          <w:sz w:val="24"/>
          <w:szCs w:val="24"/>
        </w:rPr>
        <w:t>allon.</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lastRenderedPageBreak/>
        <w:t>As can be se</w:t>
      </w:r>
      <w:r w:rsidR="00E12758">
        <w:rPr>
          <w:rFonts w:ascii="Times New Roman" w:hAnsi="Times New Roman" w:cs="Times New Roman"/>
          <w:sz w:val="24"/>
          <w:szCs w:val="24"/>
        </w:rPr>
        <w:t>en from the above graph, f</w:t>
      </w:r>
      <w:r>
        <w:rPr>
          <w:rFonts w:ascii="Times New Roman" w:hAnsi="Times New Roman" w:cs="Times New Roman"/>
          <w:sz w:val="24"/>
          <w:szCs w:val="24"/>
        </w:rPr>
        <w:t xml:space="preserve">rom 2012 </w:t>
      </w:r>
      <w:r w:rsidR="004267E6">
        <w:rPr>
          <w:rFonts w:ascii="Times New Roman" w:hAnsi="Times New Roman" w:cs="Times New Roman"/>
          <w:sz w:val="24"/>
          <w:szCs w:val="24"/>
        </w:rPr>
        <w:t xml:space="preserve">DOMLEC </w:t>
      </w:r>
      <w:r>
        <w:rPr>
          <w:rFonts w:ascii="Times New Roman" w:hAnsi="Times New Roman" w:cs="Times New Roman"/>
          <w:sz w:val="24"/>
          <w:szCs w:val="24"/>
        </w:rPr>
        <w:t xml:space="preserve">has </w:t>
      </w:r>
      <w:r w:rsidR="004267E6">
        <w:rPr>
          <w:rFonts w:ascii="Times New Roman" w:hAnsi="Times New Roman" w:cs="Times New Roman"/>
          <w:sz w:val="24"/>
          <w:szCs w:val="24"/>
        </w:rPr>
        <w:t>experienced an increase in its</w:t>
      </w:r>
      <w:r>
        <w:rPr>
          <w:rFonts w:ascii="Times New Roman" w:hAnsi="Times New Roman" w:cs="Times New Roman"/>
          <w:sz w:val="24"/>
          <w:szCs w:val="24"/>
        </w:rPr>
        <w:t xml:space="preserve"> fuel </w:t>
      </w:r>
      <w:r w:rsidR="00E12758">
        <w:rPr>
          <w:rFonts w:ascii="Times New Roman" w:hAnsi="Times New Roman" w:cs="Times New Roman"/>
          <w:sz w:val="24"/>
          <w:szCs w:val="24"/>
        </w:rPr>
        <w:t xml:space="preserve">efficiency for all </w:t>
      </w:r>
      <w:r>
        <w:rPr>
          <w:rFonts w:ascii="Times New Roman" w:hAnsi="Times New Roman" w:cs="Times New Roman"/>
          <w:sz w:val="24"/>
          <w:szCs w:val="24"/>
        </w:rPr>
        <w:t>thermal plant</w:t>
      </w:r>
      <w:r w:rsidR="00E12758">
        <w:rPr>
          <w:rFonts w:ascii="Times New Roman" w:hAnsi="Times New Roman" w:cs="Times New Roman"/>
          <w:sz w:val="24"/>
          <w:szCs w:val="24"/>
        </w:rPr>
        <w:t>s</w:t>
      </w:r>
      <w:r>
        <w:rPr>
          <w:rFonts w:ascii="Times New Roman" w:hAnsi="Times New Roman" w:cs="Times New Roman"/>
          <w:sz w:val="24"/>
          <w:szCs w:val="24"/>
        </w:rPr>
        <w:t>.</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The energy efficiency of a conventional thermal generator is considered scalable energy produced as a percent</w:t>
      </w:r>
      <w:r w:rsidR="00E12758">
        <w:rPr>
          <w:rFonts w:ascii="Times New Roman" w:hAnsi="Times New Roman" w:cs="Times New Roman"/>
          <w:sz w:val="24"/>
          <w:szCs w:val="24"/>
        </w:rPr>
        <w:t>age</w:t>
      </w:r>
      <w:r>
        <w:rPr>
          <w:rFonts w:ascii="Times New Roman" w:hAnsi="Times New Roman" w:cs="Times New Roman"/>
          <w:sz w:val="24"/>
          <w:szCs w:val="24"/>
        </w:rPr>
        <w:t xml:space="preserve"> of the heating value of the fuel consumed. </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Questions surround the reliability of this specific quantity as DOMLEC has been challenged in ensuring accurate metering of the fuel used by its thermal generators. S</w:t>
      </w:r>
      <w:r w:rsidR="004267E6">
        <w:rPr>
          <w:rFonts w:ascii="Times New Roman" w:hAnsi="Times New Roman" w:cs="Times New Roman"/>
          <w:sz w:val="24"/>
          <w:szCs w:val="24"/>
        </w:rPr>
        <w:t>ome of the generators’ fuel usage</w:t>
      </w:r>
      <w:r>
        <w:rPr>
          <w:rFonts w:ascii="Times New Roman" w:hAnsi="Times New Roman" w:cs="Times New Roman"/>
          <w:sz w:val="24"/>
          <w:szCs w:val="24"/>
        </w:rPr>
        <w:t xml:space="preserve"> has most times been calculated by utilizing an algorithm when there ar</w:t>
      </w:r>
      <w:r w:rsidR="004267E6">
        <w:rPr>
          <w:rFonts w:ascii="Times New Roman" w:hAnsi="Times New Roman" w:cs="Times New Roman"/>
          <w:sz w:val="24"/>
          <w:szCs w:val="24"/>
        </w:rPr>
        <w:t>e faulty meters. Empirically it can be shown that</w:t>
      </w:r>
      <w:r>
        <w:rPr>
          <w:rFonts w:ascii="Times New Roman" w:hAnsi="Times New Roman" w:cs="Times New Roman"/>
          <w:sz w:val="24"/>
          <w:szCs w:val="24"/>
        </w:rPr>
        <w:t xml:space="preserve"> whenever an algorithm is utilized there can be a positive or nega</w:t>
      </w:r>
      <w:r w:rsidR="008E11BF">
        <w:rPr>
          <w:rFonts w:ascii="Times New Roman" w:hAnsi="Times New Roman" w:cs="Times New Roman"/>
          <w:sz w:val="24"/>
          <w:szCs w:val="24"/>
        </w:rPr>
        <w:t xml:space="preserve">tive margin of error </w:t>
      </w:r>
      <w:r>
        <w:rPr>
          <w:rFonts w:ascii="Times New Roman" w:hAnsi="Times New Roman" w:cs="Times New Roman"/>
          <w:sz w:val="24"/>
          <w:szCs w:val="24"/>
        </w:rPr>
        <w:t xml:space="preserve">that can skew the calculation. </w:t>
      </w:r>
      <w:r>
        <w:rPr>
          <w:rFonts w:ascii="Times New Roman" w:hAnsi="Times New Roman" w:cs="Times New Roman"/>
          <w:sz w:val="24"/>
          <w:szCs w:val="24"/>
        </w:rPr>
        <w:br w:type="page"/>
      </w:r>
    </w:p>
    <w:p w:rsidR="00B74398" w:rsidRPr="00A01E5D" w:rsidRDefault="006807F4" w:rsidP="00D66BE0">
      <w:pPr>
        <w:pStyle w:val="ListParagraph"/>
        <w:ind w:left="360" w:hanging="360"/>
        <w:outlineLvl w:val="0"/>
        <w:rPr>
          <w:rFonts w:ascii="Times New Roman" w:hAnsi="Times New Roman" w:cs="Times New Roman"/>
          <w:b/>
          <w:sz w:val="24"/>
          <w:szCs w:val="24"/>
          <w:u w:val="single"/>
        </w:rPr>
      </w:pPr>
      <w:bookmarkStart w:id="37" w:name="_Toc485128768"/>
      <w:r>
        <w:rPr>
          <w:rFonts w:ascii="Times New Roman" w:hAnsi="Times New Roman" w:cs="Times New Roman"/>
          <w:b/>
          <w:sz w:val="24"/>
          <w:szCs w:val="24"/>
        </w:rPr>
        <w:lastRenderedPageBreak/>
        <w:t>5.</w:t>
      </w:r>
      <w:r w:rsidR="000F1EFA">
        <w:rPr>
          <w:rFonts w:ascii="Times New Roman" w:hAnsi="Times New Roman" w:cs="Times New Roman"/>
          <w:b/>
          <w:sz w:val="24"/>
          <w:szCs w:val="24"/>
        </w:rPr>
        <w:t>2</w:t>
      </w:r>
      <w:r w:rsidR="00D66BE0">
        <w:rPr>
          <w:rFonts w:ascii="Times New Roman" w:hAnsi="Times New Roman" w:cs="Times New Roman"/>
          <w:b/>
          <w:sz w:val="24"/>
          <w:szCs w:val="24"/>
        </w:rPr>
        <w:t xml:space="preserve"> </w:t>
      </w:r>
      <w:r w:rsidR="00D66BE0" w:rsidRPr="00D66BE0">
        <w:rPr>
          <w:rFonts w:ascii="Times New Roman" w:hAnsi="Times New Roman" w:cs="Times New Roman"/>
          <w:b/>
          <w:sz w:val="24"/>
          <w:szCs w:val="24"/>
          <w:u w:val="single"/>
        </w:rPr>
        <w:t>TRANSMISSION</w:t>
      </w:r>
      <w:r w:rsidR="00B74398" w:rsidRPr="00D66BE0">
        <w:rPr>
          <w:rFonts w:ascii="Times New Roman" w:hAnsi="Times New Roman" w:cs="Times New Roman"/>
          <w:b/>
          <w:sz w:val="24"/>
          <w:szCs w:val="24"/>
          <w:u w:val="single"/>
        </w:rPr>
        <w:t xml:space="preserve"> AND DISTRIBUTION</w:t>
      </w:r>
      <w:bookmarkEnd w:id="37"/>
    </w:p>
    <w:p w:rsidR="00B74398" w:rsidRDefault="00B74398" w:rsidP="00B74398">
      <w:pPr>
        <w:rPr>
          <w:rFonts w:ascii="Times New Roman" w:hAnsi="Times New Roman" w:cs="Times New Roman"/>
          <w:b/>
          <w:sz w:val="24"/>
          <w:szCs w:val="24"/>
        </w:rPr>
      </w:pPr>
    </w:p>
    <w:p w:rsidR="00B74398" w:rsidRPr="00484AD0" w:rsidRDefault="00B74398" w:rsidP="00875AF0">
      <w:pPr>
        <w:pStyle w:val="ListParagraph"/>
        <w:numPr>
          <w:ilvl w:val="0"/>
          <w:numId w:val="3"/>
        </w:numPr>
        <w:ind w:left="360" w:hanging="360"/>
        <w:outlineLvl w:val="1"/>
        <w:rPr>
          <w:rFonts w:ascii="Times New Roman" w:hAnsi="Times New Roman" w:cs="Times New Roman"/>
          <w:b/>
          <w:sz w:val="24"/>
          <w:szCs w:val="24"/>
        </w:rPr>
      </w:pPr>
      <w:bookmarkStart w:id="38" w:name="_Toc485128769"/>
      <w:r w:rsidRPr="00484AD0">
        <w:rPr>
          <w:rFonts w:ascii="Times New Roman" w:hAnsi="Times New Roman" w:cs="Times New Roman"/>
          <w:b/>
          <w:sz w:val="24"/>
          <w:szCs w:val="24"/>
        </w:rPr>
        <w:t>System Losses</w:t>
      </w:r>
      <w:bookmarkEnd w:id="38"/>
    </w:p>
    <w:p w:rsidR="00B74398" w:rsidRDefault="00B74398" w:rsidP="00B74398">
      <w:pPr>
        <w:rPr>
          <w:rFonts w:ascii="Times New Roman" w:hAnsi="Times New Roman" w:cs="Times New Roman"/>
          <w:b/>
          <w:sz w:val="24"/>
          <w:szCs w:val="24"/>
        </w:rPr>
      </w:pPr>
    </w:p>
    <w:p w:rsidR="00B74398" w:rsidRDefault="00B74398" w:rsidP="00B74398">
      <w:pPr>
        <w:rPr>
          <w:rFonts w:ascii="Times New Roman" w:hAnsi="Times New Roman" w:cs="Times New Roman"/>
          <w:sz w:val="24"/>
          <w:szCs w:val="24"/>
        </w:rPr>
      </w:pPr>
      <w:r w:rsidRPr="00384066">
        <w:rPr>
          <w:rFonts w:ascii="Times New Roman" w:hAnsi="Times New Roman" w:cs="Times New Roman"/>
          <w:noProof/>
          <w:sz w:val="24"/>
          <w:szCs w:val="24"/>
        </w:rPr>
        <w:drawing>
          <wp:inline distT="0" distB="0" distL="0" distR="0">
            <wp:extent cx="5642610" cy="2795270"/>
            <wp:effectExtent l="0" t="0" r="0" b="0"/>
            <wp:docPr id="3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4398" w:rsidRDefault="00B74398" w:rsidP="00B74398">
      <w:pPr>
        <w:rPr>
          <w:rFonts w:ascii="Times New Roman" w:hAnsi="Times New Roman" w:cs="Times New Roman"/>
          <w:sz w:val="24"/>
          <w:szCs w:val="24"/>
        </w:rPr>
      </w:pPr>
    </w:p>
    <w:p w:rsidR="00D44A94" w:rsidRDefault="000D3B40" w:rsidP="00D44A94">
      <w:pPr>
        <w:rPr>
          <w:rFonts w:ascii="Times New Roman" w:hAnsi="Times New Roman" w:cs="Times New Roman"/>
          <w:sz w:val="24"/>
          <w:szCs w:val="24"/>
        </w:rPr>
      </w:pPr>
      <w:r>
        <w:rPr>
          <w:rFonts w:ascii="Times New Roman" w:hAnsi="Times New Roman" w:cs="Times New Roman"/>
          <w:sz w:val="24"/>
          <w:szCs w:val="24"/>
        </w:rPr>
        <w:t xml:space="preserve">System losses comprise </w:t>
      </w:r>
      <w:r w:rsidR="00D44A94">
        <w:rPr>
          <w:rFonts w:ascii="Times New Roman" w:hAnsi="Times New Roman" w:cs="Times New Roman"/>
          <w:sz w:val="24"/>
          <w:szCs w:val="24"/>
        </w:rPr>
        <w:t>of two components. They are:</w:t>
      </w:r>
    </w:p>
    <w:p w:rsidR="00D44A94" w:rsidRDefault="00D44A94" w:rsidP="00D44A94">
      <w:pPr>
        <w:rPr>
          <w:rFonts w:ascii="Times New Roman" w:hAnsi="Times New Roman" w:cs="Times New Roman"/>
          <w:sz w:val="24"/>
          <w:szCs w:val="24"/>
        </w:rPr>
      </w:pPr>
    </w:p>
    <w:p w:rsidR="00D44A94" w:rsidRDefault="00D44A94" w:rsidP="00875A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Technical losses; and</w:t>
      </w:r>
    </w:p>
    <w:p w:rsidR="00D44A94" w:rsidRDefault="00D44A94" w:rsidP="00875A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Non-technical losses.</w:t>
      </w:r>
    </w:p>
    <w:p w:rsidR="00D44A94" w:rsidRDefault="00D44A94" w:rsidP="00D44A94">
      <w:pPr>
        <w:rPr>
          <w:rFonts w:ascii="Times New Roman" w:hAnsi="Times New Roman" w:cs="Times New Roman"/>
          <w:sz w:val="24"/>
          <w:szCs w:val="24"/>
        </w:rPr>
      </w:pPr>
    </w:p>
    <w:p w:rsidR="00D44A94" w:rsidRDefault="00D44A94" w:rsidP="00D44A94">
      <w:pPr>
        <w:rPr>
          <w:rFonts w:ascii="Times New Roman" w:hAnsi="Times New Roman" w:cs="Times New Roman"/>
          <w:sz w:val="24"/>
          <w:szCs w:val="24"/>
        </w:rPr>
      </w:pPr>
      <w:r>
        <w:rPr>
          <w:rFonts w:ascii="Times New Roman" w:hAnsi="Times New Roman" w:cs="Times New Roman"/>
          <w:sz w:val="24"/>
          <w:szCs w:val="24"/>
        </w:rPr>
        <w:t>Technical losses cannot be avoided as</w:t>
      </w:r>
      <w:r w:rsidR="000D3B40">
        <w:rPr>
          <w:rFonts w:ascii="Times New Roman" w:hAnsi="Times New Roman" w:cs="Times New Roman"/>
          <w:sz w:val="24"/>
          <w:szCs w:val="24"/>
        </w:rPr>
        <w:t xml:space="preserve"> they </w:t>
      </w:r>
      <w:r w:rsidR="00C73AC3">
        <w:rPr>
          <w:rFonts w:ascii="Times New Roman" w:hAnsi="Times New Roman" w:cs="Times New Roman"/>
          <w:sz w:val="24"/>
          <w:szCs w:val="24"/>
        </w:rPr>
        <w:t>are incurred</w:t>
      </w:r>
      <w:r>
        <w:rPr>
          <w:rFonts w:ascii="Times New Roman" w:hAnsi="Times New Roman" w:cs="Times New Roman"/>
          <w:sz w:val="24"/>
          <w:szCs w:val="24"/>
        </w:rPr>
        <w:t xml:space="preserve"> du</w:t>
      </w:r>
      <w:r w:rsidR="000D3B40">
        <w:rPr>
          <w:rFonts w:ascii="Times New Roman" w:hAnsi="Times New Roman" w:cs="Times New Roman"/>
          <w:sz w:val="24"/>
          <w:szCs w:val="24"/>
        </w:rPr>
        <w:t>e to the conductor’s resistance.</w:t>
      </w:r>
      <w:r w:rsidR="00C73AC3">
        <w:rPr>
          <w:rFonts w:ascii="Times New Roman" w:hAnsi="Times New Roman" w:cs="Times New Roman"/>
          <w:sz w:val="24"/>
          <w:szCs w:val="24"/>
        </w:rPr>
        <w:t xml:space="preserve"> </w:t>
      </w:r>
      <w:r>
        <w:rPr>
          <w:rFonts w:ascii="Times New Roman" w:hAnsi="Times New Roman" w:cs="Times New Roman"/>
          <w:sz w:val="24"/>
          <w:szCs w:val="24"/>
        </w:rPr>
        <w:t>However, Non-technical losses can be due to human error, pilferage, among other extraneous factors.</w:t>
      </w:r>
    </w:p>
    <w:p w:rsidR="00D44A94" w:rsidRDefault="00D44A94" w:rsidP="00D44A94">
      <w:pPr>
        <w:rPr>
          <w:rFonts w:ascii="Times New Roman" w:hAnsi="Times New Roman" w:cs="Times New Roman"/>
          <w:sz w:val="24"/>
          <w:szCs w:val="24"/>
        </w:rPr>
      </w:pPr>
    </w:p>
    <w:p w:rsidR="00D44A94" w:rsidRDefault="00D44A94" w:rsidP="00D44A94">
      <w:pPr>
        <w:rPr>
          <w:rFonts w:ascii="Times New Roman" w:hAnsi="Times New Roman" w:cs="Times New Roman"/>
          <w:sz w:val="24"/>
          <w:szCs w:val="24"/>
        </w:rPr>
      </w:pPr>
      <w:r>
        <w:rPr>
          <w:rFonts w:ascii="Times New Roman" w:hAnsi="Times New Roman" w:cs="Times New Roman"/>
          <w:sz w:val="24"/>
          <w:szCs w:val="24"/>
        </w:rPr>
        <w:t>Non-technical losses can be derived by subtracting technical losses</w:t>
      </w:r>
      <w:r w:rsidR="000D3B40">
        <w:rPr>
          <w:rFonts w:ascii="Times New Roman" w:hAnsi="Times New Roman" w:cs="Times New Roman"/>
          <w:sz w:val="24"/>
          <w:szCs w:val="24"/>
        </w:rPr>
        <w:t xml:space="preserve"> from total losses. There are </w:t>
      </w:r>
      <w:r>
        <w:rPr>
          <w:rFonts w:ascii="Times New Roman" w:hAnsi="Times New Roman" w:cs="Times New Roman"/>
          <w:sz w:val="24"/>
          <w:szCs w:val="24"/>
        </w:rPr>
        <w:t>various approaches to calculate total network technical losses that are quite accurate and can be used to deduce the non-technical</w:t>
      </w:r>
      <w:r w:rsidR="000D3B40">
        <w:rPr>
          <w:rFonts w:ascii="Times New Roman" w:hAnsi="Times New Roman" w:cs="Times New Roman"/>
          <w:sz w:val="24"/>
          <w:szCs w:val="24"/>
        </w:rPr>
        <w:t xml:space="preserve"> losses. In this report total losses are </w:t>
      </w:r>
      <w:r>
        <w:rPr>
          <w:rFonts w:ascii="Times New Roman" w:hAnsi="Times New Roman" w:cs="Times New Roman"/>
          <w:sz w:val="24"/>
          <w:szCs w:val="24"/>
        </w:rPr>
        <w:t>being reported.</w:t>
      </w:r>
    </w:p>
    <w:p w:rsidR="00D44A94" w:rsidRDefault="00D44A94" w:rsidP="00B74398">
      <w:pPr>
        <w:rPr>
          <w:rFonts w:ascii="Times New Roman" w:hAnsi="Times New Roman" w:cs="Times New Roman"/>
          <w:sz w:val="24"/>
          <w:szCs w:val="24"/>
        </w:rPr>
      </w:pPr>
    </w:p>
    <w:p w:rsidR="00B74398" w:rsidRDefault="00D44A94" w:rsidP="00B74398">
      <w:pPr>
        <w:rPr>
          <w:rFonts w:ascii="Times New Roman" w:hAnsi="Times New Roman" w:cs="Times New Roman"/>
          <w:sz w:val="24"/>
          <w:szCs w:val="24"/>
        </w:rPr>
      </w:pPr>
      <w:r>
        <w:rPr>
          <w:rFonts w:ascii="Times New Roman" w:hAnsi="Times New Roman" w:cs="Times New Roman"/>
          <w:sz w:val="24"/>
          <w:szCs w:val="24"/>
        </w:rPr>
        <w:t>Distribution losses</w:t>
      </w:r>
      <w:r w:rsidR="00B74398">
        <w:rPr>
          <w:rFonts w:ascii="Times New Roman" w:hAnsi="Times New Roman" w:cs="Times New Roman"/>
          <w:sz w:val="24"/>
          <w:szCs w:val="24"/>
        </w:rPr>
        <w:t xml:space="preserve"> are displayed above in Figure 8 in </w:t>
      </w:r>
      <w:r w:rsidR="00B74398" w:rsidRPr="00F81B47">
        <w:rPr>
          <w:rFonts w:ascii="Times New Roman" w:hAnsi="Times New Roman" w:cs="Times New Roman"/>
          <w:color w:val="262626" w:themeColor="text1" w:themeTint="D9"/>
          <w:sz w:val="24"/>
          <w:szCs w:val="24"/>
        </w:rPr>
        <w:t>red;</w:t>
      </w:r>
      <w:r w:rsidR="00B74398" w:rsidRPr="00771514">
        <w:rPr>
          <w:rFonts w:ascii="Times New Roman" w:hAnsi="Times New Roman" w:cs="Times New Roman"/>
          <w:sz w:val="24"/>
          <w:szCs w:val="24"/>
        </w:rPr>
        <w:t xml:space="preserve"> and</w:t>
      </w:r>
      <w:r w:rsidR="00B74398">
        <w:rPr>
          <w:rFonts w:ascii="Times New Roman" w:hAnsi="Times New Roman" w:cs="Times New Roman"/>
          <w:sz w:val="24"/>
          <w:szCs w:val="24"/>
        </w:rPr>
        <w:t xml:space="preserve"> in percentages as per the formula utilized. As can be seen, based on DOMLEC’s loss reduction program that started early in the last decade the distribution losses have progressively declined. Ongoing efforts in that area can only seek to reduce the same to its natural threshold</w:t>
      </w:r>
      <w:r>
        <w:rPr>
          <w:rFonts w:ascii="Times New Roman" w:hAnsi="Times New Roman" w:cs="Times New Roman"/>
          <w:sz w:val="24"/>
          <w:szCs w:val="24"/>
        </w:rPr>
        <w:t xml:space="preserve"> which could be a minimum of 7%.</w:t>
      </w:r>
    </w:p>
    <w:p w:rsidR="00B74398" w:rsidRDefault="00B74398" w:rsidP="00B74398">
      <w:pPr>
        <w:rPr>
          <w:rFonts w:ascii="Times New Roman" w:hAnsi="Times New Roman" w:cs="Times New Roman"/>
          <w:sz w:val="24"/>
          <w:szCs w:val="24"/>
        </w:rPr>
      </w:pPr>
    </w:p>
    <w:p w:rsidR="00B74398" w:rsidRDefault="000D3B40" w:rsidP="00B74398">
      <w:pPr>
        <w:rPr>
          <w:rFonts w:ascii="Times New Roman" w:hAnsi="Times New Roman" w:cs="Times New Roman"/>
          <w:sz w:val="24"/>
          <w:szCs w:val="24"/>
        </w:rPr>
      </w:pPr>
      <w:r>
        <w:rPr>
          <w:rFonts w:ascii="Times New Roman" w:hAnsi="Times New Roman" w:cs="Times New Roman"/>
          <w:sz w:val="24"/>
          <w:szCs w:val="24"/>
        </w:rPr>
        <w:t>From 2015</w:t>
      </w:r>
      <w:r w:rsidR="00C73AC3">
        <w:rPr>
          <w:rFonts w:ascii="Times New Roman" w:hAnsi="Times New Roman" w:cs="Times New Roman"/>
          <w:sz w:val="24"/>
          <w:szCs w:val="24"/>
        </w:rPr>
        <w:t>, IRC’s</w:t>
      </w:r>
      <w:r>
        <w:rPr>
          <w:rFonts w:ascii="Times New Roman" w:hAnsi="Times New Roman" w:cs="Times New Roman"/>
          <w:sz w:val="24"/>
          <w:szCs w:val="24"/>
        </w:rPr>
        <w:t xml:space="preserve"> </w:t>
      </w:r>
      <w:r w:rsidR="00B74398">
        <w:rPr>
          <w:rFonts w:ascii="Times New Roman" w:hAnsi="Times New Roman" w:cs="Times New Roman"/>
          <w:sz w:val="24"/>
          <w:szCs w:val="24"/>
        </w:rPr>
        <w:t>investigation into losses revealed that the energy metering was on the wrong side of the generator station power transformers at a few of DOMLEC’s power stations. DOMLEC was then ordered to have the same corrected;</w:t>
      </w:r>
      <w:r w:rsidR="00C34F57">
        <w:rPr>
          <w:rFonts w:ascii="Times New Roman" w:hAnsi="Times New Roman" w:cs="Times New Roman"/>
          <w:sz w:val="24"/>
          <w:szCs w:val="24"/>
        </w:rPr>
        <w:t xml:space="preserve"> thus, the reasons for the slight</w:t>
      </w:r>
      <w:r w:rsidR="00B74398">
        <w:rPr>
          <w:rFonts w:ascii="Times New Roman" w:hAnsi="Times New Roman" w:cs="Times New Roman"/>
          <w:sz w:val="24"/>
          <w:szCs w:val="24"/>
        </w:rPr>
        <w:t xml:space="preserve"> increase from 2015 to 2016 in Network Delivery Losses since the correction</w:t>
      </w:r>
      <w:r w:rsidR="00C34F57">
        <w:rPr>
          <w:rFonts w:ascii="Times New Roman" w:hAnsi="Times New Roman" w:cs="Times New Roman"/>
          <w:sz w:val="24"/>
          <w:szCs w:val="24"/>
        </w:rPr>
        <w:t xml:space="preserve"> from 8.6% to 9.28% respectively</w:t>
      </w:r>
      <w:r w:rsidR="00B74398">
        <w:rPr>
          <w:rFonts w:ascii="Times New Roman" w:hAnsi="Times New Roman" w:cs="Times New Roman"/>
          <w:sz w:val="24"/>
          <w:szCs w:val="24"/>
        </w:rPr>
        <w:t xml:space="preserve">. </w:t>
      </w:r>
    </w:p>
    <w:p w:rsidR="00B74398" w:rsidRDefault="00B74398" w:rsidP="00B74398">
      <w:pPr>
        <w:rPr>
          <w:rFonts w:ascii="Times New Roman" w:hAnsi="Times New Roman" w:cs="Times New Roman"/>
          <w:sz w:val="24"/>
          <w:szCs w:val="24"/>
        </w:rPr>
      </w:pPr>
    </w:p>
    <w:p w:rsidR="00C73AC3" w:rsidRDefault="00C73AC3"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lastRenderedPageBreak/>
        <w:t xml:space="preserve"> A reduction in distribution losses reflects the work done by DOMLEC in improving the efficiency of distributing power to their customers. This should translate into savings for the company. However, as can be seen above, when the metering was corrected in 2015 the network delivery losses were on the increase and therefore, could serve to mitigate any gains that they would have received from reduced distribution losses.</w:t>
      </w:r>
    </w:p>
    <w:p w:rsidR="00B74398" w:rsidRDefault="00B74398" w:rsidP="00B74398">
      <w:pPr>
        <w:rPr>
          <w:rFonts w:ascii="Times New Roman" w:hAnsi="Times New Roman" w:cs="Times New Roman"/>
          <w:sz w:val="24"/>
          <w:szCs w:val="24"/>
        </w:rPr>
      </w:pPr>
    </w:p>
    <w:p w:rsidR="00B74398" w:rsidRDefault="00B74398" w:rsidP="00875AF0">
      <w:pPr>
        <w:pStyle w:val="ListParagraph"/>
        <w:numPr>
          <w:ilvl w:val="0"/>
          <w:numId w:val="4"/>
        </w:numPr>
        <w:ind w:left="270" w:hanging="270"/>
        <w:outlineLvl w:val="1"/>
        <w:rPr>
          <w:rFonts w:ascii="Times New Roman" w:hAnsi="Times New Roman" w:cs="Times New Roman"/>
          <w:b/>
          <w:sz w:val="24"/>
          <w:szCs w:val="24"/>
        </w:rPr>
      </w:pPr>
      <w:bookmarkStart w:id="39" w:name="_Toc485128770"/>
      <w:r w:rsidRPr="00CF2F00">
        <w:rPr>
          <w:rFonts w:ascii="Times New Roman" w:hAnsi="Times New Roman" w:cs="Times New Roman"/>
          <w:b/>
          <w:sz w:val="24"/>
          <w:szCs w:val="24"/>
        </w:rPr>
        <w:t>System Reliability Indices</w:t>
      </w:r>
      <w:bookmarkEnd w:id="39"/>
    </w:p>
    <w:p w:rsidR="000D3B40" w:rsidRDefault="000D3B40" w:rsidP="000D3B40">
      <w:pPr>
        <w:outlineLvl w:val="1"/>
        <w:rPr>
          <w:rFonts w:ascii="Times New Roman" w:hAnsi="Times New Roman" w:cs="Times New Roman"/>
          <w:b/>
          <w:sz w:val="24"/>
          <w:szCs w:val="24"/>
        </w:rPr>
      </w:pPr>
    </w:p>
    <w:p w:rsidR="000D3B40" w:rsidRPr="000D3B40" w:rsidRDefault="000D3B40" w:rsidP="000D3B40">
      <w:pPr>
        <w:outlineLvl w:val="1"/>
        <w:rPr>
          <w:rFonts w:ascii="Times New Roman" w:hAnsi="Times New Roman" w:cs="Times New Roman"/>
          <w:sz w:val="24"/>
          <w:szCs w:val="24"/>
        </w:rPr>
      </w:pPr>
      <w:r>
        <w:rPr>
          <w:rFonts w:ascii="Times New Roman" w:hAnsi="Times New Roman" w:cs="Times New Roman"/>
          <w:sz w:val="24"/>
          <w:szCs w:val="24"/>
        </w:rPr>
        <w:t xml:space="preserve">Most people expect that their supply of electrical </w:t>
      </w:r>
      <w:r w:rsidR="008632F8">
        <w:rPr>
          <w:rFonts w:ascii="Times New Roman" w:hAnsi="Times New Roman" w:cs="Times New Roman"/>
          <w:sz w:val="24"/>
          <w:szCs w:val="24"/>
        </w:rPr>
        <w:t>energy will</w:t>
      </w:r>
      <w:r>
        <w:rPr>
          <w:rFonts w:ascii="Times New Roman" w:hAnsi="Times New Roman" w:cs="Times New Roman"/>
          <w:sz w:val="24"/>
          <w:szCs w:val="24"/>
        </w:rPr>
        <w:t xml:space="preserve"> be continuously available on demand. Reliability of supply is </w:t>
      </w:r>
      <w:r w:rsidR="008632F8">
        <w:rPr>
          <w:rFonts w:ascii="Times New Roman" w:hAnsi="Times New Roman" w:cs="Times New Roman"/>
          <w:sz w:val="24"/>
          <w:szCs w:val="24"/>
        </w:rPr>
        <w:t>therefore</w:t>
      </w:r>
      <w:r>
        <w:rPr>
          <w:rFonts w:ascii="Times New Roman" w:hAnsi="Times New Roman" w:cs="Times New Roman"/>
          <w:sz w:val="24"/>
          <w:szCs w:val="24"/>
        </w:rPr>
        <w:t xml:space="preserve"> an important indicator of service delivery.  System reliability indicator include</w:t>
      </w:r>
      <w:r w:rsidR="005E05E4">
        <w:rPr>
          <w:rFonts w:ascii="Times New Roman" w:hAnsi="Times New Roman" w:cs="Times New Roman"/>
          <w:sz w:val="24"/>
          <w:szCs w:val="24"/>
        </w:rPr>
        <w:t>;</w:t>
      </w:r>
      <w:r>
        <w:rPr>
          <w:rFonts w:ascii="Times New Roman" w:hAnsi="Times New Roman" w:cs="Times New Roman"/>
          <w:sz w:val="24"/>
          <w:szCs w:val="24"/>
        </w:rPr>
        <w:t xml:space="preserve"> SAIDI, SAIFI </w:t>
      </w:r>
      <w:r w:rsidR="008632F8">
        <w:rPr>
          <w:rFonts w:ascii="Times New Roman" w:hAnsi="Times New Roman" w:cs="Times New Roman"/>
          <w:sz w:val="24"/>
          <w:szCs w:val="24"/>
        </w:rPr>
        <w:t>and CAIDI</w:t>
      </w:r>
      <w:r>
        <w:rPr>
          <w:rFonts w:ascii="Times New Roman" w:hAnsi="Times New Roman" w:cs="Times New Roman"/>
          <w:sz w:val="24"/>
          <w:szCs w:val="24"/>
        </w:rPr>
        <w:t xml:space="preserve"> </w:t>
      </w:r>
    </w:p>
    <w:p w:rsidR="00A66913" w:rsidRDefault="00A66913" w:rsidP="00A66913">
      <w:pPr>
        <w:outlineLvl w:val="1"/>
        <w:rPr>
          <w:rFonts w:ascii="Times New Roman" w:hAnsi="Times New Roman" w:cs="Times New Roman"/>
          <w:b/>
          <w:sz w:val="24"/>
          <w:szCs w:val="24"/>
        </w:rPr>
      </w:pPr>
    </w:p>
    <w:p w:rsidR="00A66913" w:rsidRDefault="00A66913" w:rsidP="00A66913">
      <w:pPr>
        <w:outlineLvl w:val="1"/>
        <w:rPr>
          <w:rFonts w:ascii="Times New Roman" w:hAnsi="Times New Roman" w:cs="Times New Roman"/>
          <w:sz w:val="24"/>
          <w:szCs w:val="24"/>
        </w:rPr>
      </w:pPr>
      <w:bookmarkStart w:id="40" w:name="_Toc482963115"/>
      <w:bookmarkStart w:id="41" w:name="_Toc485128771"/>
      <w:r>
        <w:rPr>
          <w:rFonts w:ascii="Times New Roman" w:hAnsi="Times New Roman" w:cs="Times New Roman"/>
          <w:sz w:val="24"/>
          <w:szCs w:val="24"/>
        </w:rPr>
        <w:t xml:space="preserve">System Average Interruption Duration Index </w:t>
      </w:r>
      <w:r w:rsidR="00B87936">
        <w:rPr>
          <w:rFonts w:ascii="Times New Roman" w:hAnsi="Times New Roman" w:cs="Times New Roman"/>
          <w:sz w:val="24"/>
          <w:szCs w:val="24"/>
        </w:rPr>
        <w:t xml:space="preserve">(SAIDI) is the average </w:t>
      </w:r>
      <w:r w:rsidR="001E7524">
        <w:rPr>
          <w:rFonts w:ascii="Times New Roman" w:hAnsi="Times New Roman" w:cs="Times New Roman"/>
          <w:sz w:val="24"/>
          <w:szCs w:val="24"/>
        </w:rPr>
        <w:t>outage</w:t>
      </w:r>
      <w:r w:rsidR="008632F8">
        <w:rPr>
          <w:rFonts w:ascii="Times New Roman" w:hAnsi="Times New Roman" w:cs="Times New Roman"/>
          <w:sz w:val="24"/>
          <w:szCs w:val="24"/>
        </w:rPr>
        <w:t xml:space="preserve"> duration for each customer served.</w:t>
      </w:r>
      <w:r>
        <w:rPr>
          <w:rFonts w:ascii="Times New Roman" w:hAnsi="Times New Roman" w:cs="Times New Roman"/>
          <w:sz w:val="24"/>
          <w:szCs w:val="24"/>
        </w:rPr>
        <w:t xml:space="preserve"> System Averag</w:t>
      </w:r>
      <w:r w:rsidR="008632F8">
        <w:rPr>
          <w:rFonts w:ascii="Times New Roman" w:hAnsi="Times New Roman" w:cs="Times New Roman"/>
          <w:sz w:val="24"/>
          <w:szCs w:val="24"/>
        </w:rPr>
        <w:t>e Interruption Frequency Index (</w:t>
      </w:r>
      <w:r w:rsidR="008632F8" w:rsidRPr="00A66913">
        <w:rPr>
          <w:rFonts w:ascii="Times New Roman" w:hAnsi="Times New Roman" w:cs="Times New Roman"/>
          <w:b/>
          <w:sz w:val="24"/>
          <w:szCs w:val="24"/>
        </w:rPr>
        <w:t>SAIFI</w:t>
      </w:r>
      <w:r w:rsidR="008632F8">
        <w:rPr>
          <w:rFonts w:ascii="Times New Roman" w:hAnsi="Times New Roman" w:cs="Times New Roman"/>
          <w:b/>
          <w:sz w:val="24"/>
          <w:szCs w:val="24"/>
        </w:rPr>
        <w:t xml:space="preserve">) </w:t>
      </w:r>
      <w:r w:rsidR="008632F8">
        <w:rPr>
          <w:rFonts w:ascii="Times New Roman" w:hAnsi="Times New Roman" w:cs="Times New Roman"/>
          <w:sz w:val="24"/>
          <w:szCs w:val="24"/>
        </w:rPr>
        <w:t xml:space="preserve">represents the average number of </w:t>
      </w:r>
      <w:r w:rsidR="005E05E4">
        <w:rPr>
          <w:rFonts w:ascii="Times New Roman" w:hAnsi="Times New Roman" w:cs="Times New Roman"/>
          <w:sz w:val="24"/>
          <w:szCs w:val="24"/>
        </w:rPr>
        <w:t>interruption that</w:t>
      </w:r>
      <w:r w:rsidR="008632F8">
        <w:rPr>
          <w:rFonts w:ascii="Times New Roman" w:hAnsi="Times New Roman" w:cs="Times New Roman"/>
          <w:sz w:val="24"/>
          <w:szCs w:val="24"/>
        </w:rPr>
        <w:t xml:space="preserve"> a customer experiences over a specific period.</w:t>
      </w:r>
      <w:r w:rsidR="005E05E4">
        <w:rPr>
          <w:rFonts w:ascii="Times New Roman" w:hAnsi="Times New Roman" w:cs="Times New Roman"/>
          <w:sz w:val="24"/>
          <w:szCs w:val="24"/>
        </w:rPr>
        <w:t xml:space="preserve"> Th</w:t>
      </w:r>
      <w:r>
        <w:rPr>
          <w:rFonts w:ascii="Times New Roman" w:hAnsi="Times New Roman" w:cs="Times New Roman"/>
          <w:sz w:val="24"/>
          <w:szCs w:val="24"/>
        </w:rPr>
        <w:t>e formulas used to calculate SAIDI and SAIFI are included in the Appendix.</w:t>
      </w:r>
      <w:bookmarkEnd w:id="40"/>
      <w:bookmarkEnd w:id="41"/>
    </w:p>
    <w:p w:rsidR="00A66913" w:rsidRDefault="00A66913" w:rsidP="00A66913">
      <w:pPr>
        <w:outlineLvl w:val="1"/>
        <w:rPr>
          <w:rFonts w:ascii="Times New Roman" w:hAnsi="Times New Roman" w:cs="Times New Roman"/>
          <w:sz w:val="24"/>
          <w:szCs w:val="24"/>
        </w:rPr>
      </w:pPr>
    </w:p>
    <w:p w:rsidR="00A66913" w:rsidRDefault="00A66913" w:rsidP="00A66913">
      <w:pPr>
        <w:rPr>
          <w:rFonts w:ascii="Times New Roman" w:hAnsi="Times New Roman" w:cs="Times New Roman"/>
          <w:sz w:val="24"/>
          <w:szCs w:val="24"/>
        </w:rPr>
      </w:pPr>
      <w:r w:rsidRPr="004442CF">
        <w:rPr>
          <w:rFonts w:ascii="Times New Roman" w:hAnsi="Times New Roman" w:cs="Times New Roman"/>
          <w:sz w:val="24"/>
          <w:szCs w:val="24"/>
        </w:rPr>
        <w:t xml:space="preserve">CAIDI </w:t>
      </w:r>
      <w:r>
        <w:rPr>
          <w:rFonts w:ascii="Times New Roman" w:hAnsi="Times New Roman" w:cs="Times New Roman"/>
          <w:sz w:val="24"/>
          <w:szCs w:val="24"/>
        </w:rPr>
        <w:t xml:space="preserve">which is calculated by dividing SAIDI by SAIFI </w:t>
      </w:r>
      <w:r w:rsidRPr="004442CF">
        <w:rPr>
          <w:rFonts w:ascii="Times New Roman" w:hAnsi="Times New Roman" w:cs="Times New Roman"/>
          <w:sz w:val="24"/>
          <w:szCs w:val="24"/>
        </w:rPr>
        <w:t>gives the average outage duration that any given customer would experience. CAIDI can also be viewed as the average restoration time.</w:t>
      </w:r>
      <w:r>
        <w:rPr>
          <w:rFonts w:ascii="Times New Roman" w:hAnsi="Times New Roman" w:cs="Times New Roman"/>
          <w:sz w:val="24"/>
          <w:szCs w:val="24"/>
        </w:rPr>
        <w:t xml:space="preserve"> </w:t>
      </w:r>
    </w:p>
    <w:p w:rsidR="00B74398" w:rsidRDefault="00B74398" w:rsidP="00B74398">
      <w:pPr>
        <w:rPr>
          <w:rFonts w:ascii="Times New Roman" w:hAnsi="Times New Roman" w:cs="Times New Roman"/>
          <w:noProof/>
          <w:sz w:val="24"/>
          <w:szCs w:val="24"/>
        </w:rPr>
      </w:pPr>
    </w:p>
    <w:p w:rsidR="00B74398" w:rsidRDefault="00B74398" w:rsidP="00B74398">
      <w:pPr>
        <w:rPr>
          <w:rFonts w:ascii="Times New Roman" w:hAnsi="Times New Roman" w:cs="Times New Roman"/>
          <w:sz w:val="24"/>
          <w:szCs w:val="24"/>
        </w:rPr>
      </w:pPr>
      <w:r w:rsidRPr="00CD1299">
        <w:rPr>
          <w:rFonts w:ascii="Times New Roman" w:hAnsi="Times New Roman" w:cs="Times New Roman"/>
          <w:noProof/>
          <w:sz w:val="24"/>
          <w:szCs w:val="24"/>
        </w:rPr>
        <w:drawing>
          <wp:inline distT="0" distB="0" distL="0" distR="0">
            <wp:extent cx="5944246" cy="2479728"/>
            <wp:effectExtent l="0" t="0" r="0" b="0"/>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Figure 9 above depicts the aggregated SAIDI, SAIFI and CAIDI over the period. As can be seen from the graph, between 2014 and 2015 there was a slight increase in SAIDI with SAIFI tapering downward.</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In 2016, significant decrease</w:t>
      </w:r>
      <w:r w:rsidR="001E7524">
        <w:rPr>
          <w:rFonts w:ascii="Times New Roman" w:hAnsi="Times New Roman" w:cs="Times New Roman"/>
          <w:sz w:val="24"/>
          <w:szCs w:val="24"/>
        </w:rPr>
        <w:t>s</w:t>
      </w:r>
      <w:r>
        <w:rPr>
          <w:rFonts w:ascii="Times New Roman" w:hAnsi="Times New Roman" w:cs="Times New Roman"/>
          <w:sz w:val="24"/>
          <w:szCs w:val="24"/>
        </w:rPr>
        <w:t xml:space="preserve"> of 32.4% and 33.1% w</w:t>
      </w:r>
      <w:r w:rsidR="001E7524">
        <w:rPr>
          <w:rFonts w:ascii="Times New Roman" w:hAnsi="Times New Roman" w:cs="Times New Roman"/>
          <w:sz w:val="24"/>
          <w:szCs w:val="24"/>
        </w:rPr>
        <w:t>ere</w:t>
      </w:r>
      <w:r>
        <w:rPr>
          <w:rFonts w:ascii="Times New Roman" w:hAnsi="Times New Roman" w:cs="Times New Roman"/>
          <w:sz w:val="24"/>
          <w:szCs w:val="24"/>
        </w:rPr>
        <w:t xml:space="preserve"> realized over 2015 for SAIDI and SAIFI respectively, however</w:t>
      </w:r>
      <w:r w:rsidR="001E7524">
        <w:rPr>
          <w:rFonts w:ascii="Times New Roman" w:hAnsi="Times New Roman" w:cs="Times New Roman"/>
          <w:sz w:val="24"/>
          <w:szCs w:val="24"/>
        </w:rPr>
        <w:t>,</w:t>
      </w:r>
      <w:r>
        <w:rPr>
          <w:rFonts w:ascii="Times New Roman" w:hAnsi="Times New Roman" w:cs="Times New Roman"/>
          <w:sz w:val="24"/>
          <w:szCs w:val="24"/>
        </w:rPr>
        <w:t xml:space="preserve"> over the same period CAIDI remained relatively flat. </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Figures 9a and 9b below depict SAIDI, SAIFI and CAIDI for Transmission and Distribution (T&amp;D) and Generation respectively.</w:t>
      </w:r>
    </w:p>
    <w:p w:rsidR="00B74398" w:rsidRDefault="00B74398" w:rsidP="00B74398">
      <w:pPr>
        <w:rPr>
          <w:rFonts w:ascii="Times New Roman" w:hAnsi="Times New Roman" w:cs="Times New Roman"/>
          <w:sz w:val="24"/>
          <w:szCs w:val="24"/>
        </w:rPr>
      </w:pPr>
      <w:r w:rsidRPr="004273C2">
        <w:rPr>
          <w:rFonts w:ascii="Times New Roman" w:hAnsi="Times New Roman" w:cs="Times New Roman"/>
          <w:noProof/>
          <w:sz w:val="24"/>
          <w:szCs w:val="24"/>
        </w:rPr>
        <w:lastRenderedPageBreak/>
        <w:drawing>
          <wp:inline distT="0" distB="0" distL="0" distR="0">
            <wp:extent cx="5544190" cy="2481943"/>
            <wp:effectExtent l="0" t="0" r="0" b="0"/>
            <wp:docPr id="3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0247F" w:rsidRDefault="0090247F" w:rsidP="00B74398">
      <w:pPr>
        <w:rPr>
          <w:rFonts w:ascii="Times New Roman" w:hAnsi="Times New Roman" w:cs="Times New Roman"/>
          <w:sz w:val="24"/>
          <w:szCs w:val="24"/>
        </w:rPr>
      </w:pPr>
    </w:p>
    <w:p w:rsidR="00B74398" w:rsidRDefault="00B961EE" w:rsidP="00B74398">
      <w:pPr>
        <w:rPr>
          <w:rFonts w:ascii="Times New Roman" w:hAnsi="Times New Roman" w:cs="Times New Roman"/>
          <w:sz w:val="24"/>
          <w:szCs w:val="24"/>
        </w:rPr>
      </w:pPr>
      <w:r>
        <w:rPr>
          <w:rFonts w:ascii="Times New Roman" w:hAnsi="Times New Roman" w:cs="Times New Roman"/>
          <w:sz w:val="24"/>
          <w:szCs w:val="24"/>
        </w:rPr>
        <w:t xml:space="preserve">As per Figure 9a, </w:t>
      </w:r>
      <w:r w:rsidR="00B74398">
        <w:rPr>
          <w:rFonts w:ascii="Times New Roman" w:hAnsi="Times New Roman" w:cs="Times New Roman"/>
          <w:sz w:val="24"/>
          <w:szCs w:val="24"/>
        </w:rPr>
        <w:t>DOMLEC in trying to improve their reliability in T&amp;D over the years has achieved a progressive decline in outage rates from 2012</w:t>
      </w:r>
      <w:r w:rsidR="0090247F">
        <w:rPr>
          <w:rFonts w:ascii="Times New Roman" w:hAnsi="Times New Roman" w:cs="Times New Roman"/>
          <w:sz w:val="24"/>
          <w:szCs w:val="24"/>
        </w:rPr>
        <w:t>.</w:t>
      </w:r>
      <w:r w:rsidR="00B74398">
        <w:rPr>
          <w:rFonts w:ascii="Times New Roman" w:hAnsi="Times New Roman" w:cs="Times New Roman"/>
          <w:sz w:val="24"/>
          <w:szCs w:val="24"/>
        </w:rPr>
        <w:t xml:space="preserve"> Both the duration and frequen</w:t>
      </w:r>
      <w:r w:rsidR="003D29C9">
        <w:rPr>
          <w:rFonts w:ascii="Times New Roman" w:hAnsi="Times New Roman" w:cs="Times New Roman"/>
          <w:sz w:val="24"/>
          <w:szCs w:val="24"/>
        </w:rPr>
        <w:t>cy of outages have dropped by 64.24% and 61.41</w:t>
      </w:r>
      <w:r w:rsidR="00B74398">
        <w:rPr>
          <w:rFonts w:ascii="Times New Roman" w:hAnsi="Times New Roman" w:cs="Times New Roman"/>
          <w:sz w:val="24"/>
          <w:szCs w:val="24"/>
        </w:rPr>
        <w:t xml:space="preserve">% respectively to 2016. </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sidRPr="00A650C1">
        <w:rPr>
          <w:rFonts w:ascii="Times New Roman" w:hAnsi="Times New Roman" w:cs="Times New Roman"/>
          <w:noProof/>
          <w:sz w:val="24"/>
          <w:szCs w:val="24"/>
        </w:rPr>
        <w:drawing>
          <wp:inline distT="0" distB="0" distL="0" distR="0">
            <wp:extent cx="5943600" cy="2948763"/>
            <wp:effectExtent l="0" t="0" r="0" b="0"/>
            <wp:docPr id="4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For Generation Figu</w:t>
      </w:r>
      <w:r w:rsidR="0090247F">
        <w:rPr>
          <w:rFonts w:ascii="Times New Roman" w:hAnsi="Times New Roman" w:cs="Times New Roman"/>
          <w:sz w:val="24"/>
          <w:szCs w:val="24"/>
        </w:rPr>
        <w:t xml:space="preserve">re 9b shows that </w:t>
      </w:r>
      <w:r>
        <w:rPr>
          <w:rFonts w:ascii="Times New Roman" w:hAnsi="Times New Roman" w:cs="Times New Roman"/>
          <w:sz w:val="24"/>
          <w:szCs w:val="24"/>
        </w:rPr>
        <w:t>SAIDI and SAIFI have remained within a specific range between 2012 and 2014. Spikes in the duration and frequency indices occurred in 2015</w:t>
      </w:r>
      <w:r w:rsidR="001E7524">
        <w:rPr>
          <w:rFonts w:ascii="Times New Roman" w:hAnsi="Times New Roman" w:cs="Times New Roman"/>
          <w:sz w:val="24"/>
          <w:szCs w:val="24"/>
        </w:rPr>
        <w:t>,</w:t>
      </w:r>
      <w:r>
        <w:rPr>
          <w:rFonts w:ascii="Times New Roman" w:hAnsi="Times New Roman" w:cs="Times New Roman"/>
          <w:sz w:val="24"/>
          <w:szCs w:val="24"/>
        </w:rPr>
        <w:t xml:space="preserve"> w</w:t>
      </w:r>
      <w:r w:rsidR="001E7524">
        <w:rPr>
          <w:rFonts w:ascii="Times New Roman" w:hAnsi="Times New Roman" w:cs="Times New Roman"/>
          <w:sz w:val="24"/>
          <w:szCs w:val="24"/>
        </w:rPr>
        <w:t>ith</w:t>
      </w:r>
      <w:r>
        <w:rPr>
          <w:rFonts w:ascii="Times New Roman" w:hAnsi="Times New Roman" w:cs="Times New Roman"/>
          <w:sz w:val="24"/>
          <w:szCs w:val="24"/>
        </w:rPr>
        <w:t xml:space="preserve"> SAIDI and SAIFI at an all time high. This was primarily due to the passage of </w:t>
      </w:r>
      <w:r w:rsidR="005E05E4">
        <w:rPr>
          <w:rFonts w:ascii="Times New Roman" w:hAnsi="Times New Roman" w:cs="Times New Roman"/>
          <w:sz w:val="24"/>
          <w:szCs w:val="24"/>
        </w:rPr>
        <w:t>Tropical S</w:t>
      </w:r>
      <w:r>
        <w:rPr>
          <w:rFonts w:ascii="Times New Roman" w:hAnsi="Times New Roman" w:cs="Times New Roman"/>
          <w:sz w:val="24"/>
          <w:szCs w:val="24"/>
        </w:rPr>
        <w:t xml:space="preserve">torm Erika. However, normalization occurred in 2016. </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p>
    <w:p w:rsidR="00B74398" w:rsidRPr="004442CF" w:rsidRDefault="00B74398" w:rsidP="00B74398">
      <w:pPr>
        <w:rPr>
          <w:rFonts w:ascii="Times New Roman" w:hAnsi="Times New Roman" w:cs="Times New Roman"/>
          <w:sz w:val="24"/>
          <w:szCs w:val="24"/>
        </w:rPr>
      </w:pPr>
      <w:r w:rsidRPr="004442CF">
        <w:rPr>
          <w:rFonts w:ascii="Times New Roman" w:hAnsi="Times New Roman" w:cs="Times New Roman"/>
          <w:sz w:val="24"/>
          <w:szCs w:val="24"/>
        </w:rPr>
        <w:lastRenderedPageBreak/>
        <w:t>CAIDI is measured in units of time, often minutes or hours. It is usually measured over the course of a year, and according to IEEE Standard 1366-1998 the median value for North American utilities is approximately 1.36 hours.</w:t>
      </w:r>
    </w:p>
    <w:p w:rsidR="00B74398" w:rsidRPr="004442CF" w:rsidRDefault="00B74398" w:rsidP="00B74398">
      <w:pPr>
        <w:rPr>
          <w:rFonts w:ascii="Times New Roman" w:hAnsi="Times New Roman" w:cs="Times New Roman"/>
          <w:sz w:val="24"/>
          <w:szCs w:val="24"/>
        </w:rPr>
      </w:pPr>
    </w:p>
    <w:p w:rsidR="00B74398" w:rsidRDefault="00D25028" w:rsidP="00B74398">
      <w:pPr>
        <w:rPr>
          <w:rFonts w:ascii="Times New Roman" w:hAnsi="Times New Roman" w:cs="Times New Roman"/>
          <w:sz w:val="24"/>
          <w:szCs w:val="24"/>
        </w:rPr>
      </w:pPr>
      <w:r>
        <w:rPr>
          <w:rFonts w:ascii="Times New Roman" w:hAnsi="Times New Roman" w:cs="Times New Roman"/>
          <w:sz w:val="24"/>
          <w:szCs w:val="24"/>
        </w:rPr>
        <w:t xml:space="preserve">DOMLEC </w:t>
      </w:r>
      <w:r w:rsidR="00B74398">
        <w:rPr>
          <w:rFonts w:ascii="Times New Roman" w:hAnsi="Times New Roman" w:cs="Times New Roman"/>
          <w:sz w:val="24"/>
          <w:szCs w:val="24"/>
        </w:rPr>
        <w:t>has remained within the range of 1.4 and 2.2</w:t>
      </w:r>
      <w:r>
        <w:rPr>
          <w:rFonts w:ascii="Times New Roman" w:hAnsi="Times New Roman" w:cs="Times New Roman"/>
          <w:sz w:val="24"/>
          <w:szCs w:val="24"/>
        </w:rPr>
        <w:t xml:space="preserve"> hours</w:t>
      </w:r>
      <w:r w:rsidR="00B74398">
        <w:rPr>
          <w:rFonts w:ascii="Times New Roman" w:hAnsi="Times New Roman" w:cs="Times New Roman"/>
          <w:sz w:val="24"/>
          <w:szCs w:val="24"/>
        </w:rPr>
        <w:t xml:space="preserve">. Though DOMLEC has reduced significantly the duration and frequency of interruptions it still </w:t>
      </w:r>
      <w:r>
        <w:rPr>
          <w:rFonts w:ascii="Times New Roman" w:hAnsi="Times New Roman" w:cs="Times New Roman"/>
          <w:sz w:val="24"/>
          <w:szCs w:val="24"/>
        </w:rPr>
        <w:t>needs to do work to achieve the</w:t>
      </w:r>
      <w:r w:rsidR="00B74398">
        <w:rPr>
          <w:rFonts w:ascii="Times New Roman" w:hAnsi="Times New Roman" w:cs="Times New Roman"/>
          <w:sz w:val="24"/>
          <w:szCs w:val="24"/>
        </w:rPr>
        <w:t xml:space="preserve"> </w:t>
      </w:r>
      <w:r>
        <w:rPr>
          <w:rFonts w:ascii="Times New Roman" w:hAnsi="Times New Roman" w:cs="Times New Roman"/>
          <w:sz w:val="24"/>
          <w:szCs w:val="24"/>
        </w:rPr>
        <w:t xml:space="preserve">IEEE </w:t>
      </w:r>
      <w:r w:rsidR="00B74398">
        <w:rPr>
          <w:rFonts w:ascii="Times New Roman" w:hAnsi="Times New Roman" w:cs="Times New Roman"/>
          <w:sz w:val="24"/>
          <w:szCs w:val="24"/>
        </w:rPr>
        <w:t>milestone</w:t>
      </w:r>
      <w:r>
        <w:rPr>
          <w:rFonts w:ascii="Times New Roman" w:hAnsi="Times New Roman" w:cs="Times New Roman"/>
          <w:sz w:val="24"/>
          <w:szCs w:val="24"/>
        </w:rPr>
        <w:t xml:space="preserve"> of 1.36 hours</w:t>
      </w:r>
      <w:r w:rsidR="00B74398">
        <w:rPr>
          <w:rFonts w:ascii="Times New Roman" w:hAnsi="Times New Roman" w:cs="Times New Roman"/>
          <w:sz w:val="24"/>
          <w:szCs w:val="24"/>
        </w:rPr>
        <w:t>.</w:t>
      </w:r>
    </w:p>
    <w:p w:rsidR="00B74398" w:rsidRPr="0096339E" w:rsidRDefault="000F1EFA" w:rsidP="00D72ABE">
      <w:pPr>
        <w:pStyle w:val="Heading1"/>
        <w:rPr>
          <w:rFonts w:ascii="Times New Roman" w:hAnsi="Times New Roman" w:cs="Times New Roman"/>
          <w:color w:val="auto"/>
          <w:sz w:val="24"/>
          <w:szCs w:val="24"/>
        </w:rPr>
      </w:pPr>
      <w:bookmarkStart w:id="42" w:name="_Toc485128772"/>
      <w:r>
        <w:rPr>
          <w:rFonts w:ascii="Times New Roman" w:hAnsi="Times New Roman" w:cs="Times New Roman"/>
          <w:color w:val="auto"/>
          <w:sz w:val="24"/>
          <w:szCs w:val="24"/>
        </w:rPr>
        <w:t>6.0</w:t>
      </w:r>
      <w:r w:rsidR="00B74398" w:rsidRPr="0096339E">
        <w:rPr>
          <w:rFonts w:ascii="Times New Roman" w:hAnsi="Times New Roman" w:cs="Times New Roman"/>
          <w:color w:val="auto"/>
          <w:sz w:val="24"/>
          <w:szCs w:val="24"/>
        </w:rPr>
        <w:t xml:space="preserve"> </w:t>
      </w:r>
      <w:r w:rsidR="00B74398" w:rsidRPr="0096339E">
        <w:rPr>
          <w:rFonts w:ascii="Times New Roman" w:hAnsi="Times New Roman" w:cs="Times New Roman"/>
          <w:color w:val="auto"/>
          <w:sz w:val="24"/>
          <w:szCs w:val="24"/>
          <w:u w:val="single"/>
        </w:rPr>
        <w:t>SUMMARY</w:t>
      </w:r>
      <w:bookmarkEnd w:id="42"/>
    </w:p>
    <w:p w:rsidR="00B74398" w:rsidRPr="004442CF" w:rsidRDefault="00B74398" w:rsidP="00B74398">
      <w:pPr>
        <w:rPr>
          <w:rFonts w:ascii="Times New Roman" w:hAnsi="Times New Roman" w:cs="Times New Roman"/>
          <w:sz w:val="24"/>
          <w:szCs w:val="24"/>
        </w:rPr>
      </w:pPr>
    </w:p>
    <w:p w:rsidR="00B74398" w:rsidRDefault="005E05E4" w:rsidP="00B74398">
      <w:pPr>
        <w:rPr>
          <w:rFonts w:ascii="Times New Roman" w:hAnsi="Times New Roman" w:cs="Times New Roman"/>
          <w:sz w:val="24"/>
          <w:szCs w:val="24"/>
        </w:rPr>
      </w:pPr>
      <w:r>
        <w:rPr>
          <w:rFonts w:ascii="Times New Roman" w:hAnsi="Times New Roman" w:cs="Times New Roman"/>
          <w:sz w:val="24"/>
          <w:szCs w:val="24"/>
        </w:rPr>
        <w:t xml:space="preserve">This is the first attempt to benchmark DOMLEC’s performance. Going forward similar exercises will be conducted </w:t>
      </w:r>
      <w:r w:rsidR="00B74398">
        <w:rPr>
          <w:rFonts w:ascii="Times New Roman" w:hAnsi="Times New Roman" w:cs="Times New Roman"/>
          <w:sz w:val="24"/>
          <w:szCs w:val="24"/>
        </w:rPr>
        <w:t>to track progress utilizing pertinent indicators.</w:t>
      </w:r>
    </w:p>
    <w:p w:rsidR="00B74398" w:rsidRDefault="00B74398" w:rsidP="00B74398">
      <w:pPr>
        <w:rPr>
          <w:rFonts w:ascii="Times New Roman" w:hAnsi="Times New Roman" w:cs="Times New Roman"/>
          <w:sz w:val="24"/>
          <w:szCs w:val="24"/>
        </w:rPr>
      </w:pPr>
    </w:p>
    <w:p w:rsidR="00B74398" w:rsidRDefault="00B74398" w:rsidP="00B74398">
      <w:pPr>
        <w:rPr>
          <w:rFonts w:ascii="Times New Roman" w:hAnsi="Times New Roman" w:cs="Times New Roman"/>
          <w:sz w:val="24"/>
          <w:szCs w:val="24"/>
        </w:rPr>
      </w:pPr>
      <w:r>
        <w:rPr>
          <w:rFonts w:ascii="Times New Roman" w:hAnsi="Times New Roman" w:cs="Times New Roman"/>
          <w:sz w:val="24"/>
          <w:szCs w:val="24"/>
        </w:rPr>
        <w:t xml:space="preserve">From a technical point of view, efficiency in the utility’s operations is the main objective. </w:t>
      </w:r>
      <w:r w:rsidR="001E7524">
        <w:rPr>
          <w:rFonts w:ascii="Times New Roman" w:hAnsi="Times New Roman" w:cs="Times New Roman"/>
          <w:sz w:val="24"/>
          <w:szCs w:val="24"/>
        </w:rPr>
        <w:t>A</w:t>
      </w:r>
      <w:r>
        <w:rPr>
          <w:rFonts w:ascii="Times New Roman" w:hAnsi="Times New Roman" w:cs="Times New Roman"/>
          <w:sz w:val="24"/>
          <w:szCs w:val="24"/>
        </w:rPr>
        <w:t>chieving reliability, low losses</w:t>
      </w:r>
      <w:r w:rsidR="001E7524">
        <w:rPr>
          <w:rFonts w:ascii="Times New Roman" w:hAnsi="Times New Roman" w:cs="Times New Roman"/>
          <w:sz w:val="24"/>
          <w:szCs w:val="24"/>
        </w:rPr>
        <w:t xml:space="preserve">, offering a high quality service at fair prices are byproducts of improved efficiency. </w:t>
      </w:r>
      <w:r>
        <w:rPr>
          <w:rFonts w:ascii="Times New Roman" w:hAnsi="Times New Roman" w:cs="Times New Roman"/>
          <w:sz w:val="24"/>
          <w:szCs w:val="24"/>
        </w:rPr>
        <w:t>The indices that were chosen above gave a good representation of DOMLEC’s progress over the years.</w:t>
      </w:r>
    </w:p>
    <w:p w:rsidR="00B74398" w:rsidRDefault="00B74398" w:rsidP="00B74398">
      <w:pPr>
        <w:rPr>
          <w:rFonts w:ascii="Times New Roman" w:hAnsi="Times New Roman" w:cs="Times New Roman"/>
          <w:sz w:val="24"/>
          <w:szCs w:val="24"/>
        </w:rPr>
      </w:pPr>
    </w:p>
    <w:p w:rsidR="00B74398" w:rsidRPr="004442CF" w:rsidRDefault="00B74398" w:rsidP="00B74398">
      <w:pPr>
        <w:rPr>
          <w:rFonts w:ascii="Times New Roman" w:hAnsi="Times New Roman" w:cs="Times New Roman"/>
        </w:rPr>
      </w:pPr>
      <w:r>
        <w:rPr>
          <w:rFonts w:ascii="Times New Roman" w:hAnsi="Times New Roman" w:cs="Times New Roman"/>
          <w:sz w:val="24"/>
          <w:szCs w:val="24"/>
        </w:rPr>
        <w:t>It can</w:t>
      </w:r>
      <w:r w:rsidR="001E7524">
        <w:rPr>
          <w:rFonts w:ascii="Times New Roman" w:hAnsi="Times New Roman" w:cs="Times New Roman"/>
          <w:sz w:val="24"/>
          <w:szCs w:val="24"/>
        </w:rPr>
        <w:t>,</w:t>
      </w:r>
      <w:r>
        <w:rPr>
          <w:rFonts w:ascii="Times New Roman" w:hAnsi="Times New Roman" w:cs="Times New Roman"/>
          <w:sz w:val="24"/>
          <w:szCs w:val="24"/>
        </w:rPr>
        <w:t xml:space="preserve"> therefore</w:t>
      </w:r>
      <w:r w:rsidR="001E7524">
        <w:rPr>
          <w:rFonts w:ascii="Times New Roman" w:hAnsi="Times New Roman" w:cs="Times New Roman"/>
          <w:sz w:val="24"/>
          <w:szCs w:val="24"/>
        </w:rPr>
        <w:t>,</w:t>
      </w:r>
      <w:r>
        <w:rPr>
          <w:rFonts w:ascii="Times New Roman" w:hAnsi="Times New Roman" w:cs="Times New Roman"/>
          <w:sz w:val="24"/>
          <w:szCs w:val="24"/>
        </w:rPr>
        <w:t xml:space="preserve"> be safely established that DOMLEC has improved significantly in its operations over the last fi</w:t>
      </w:r>
      <w:r w:rsidR="00440ED1">
        <w:rPr>
          <w:rFonts w:ascii="Times New Roman" w:hAnsi="Times New Roman" w:cs="Times New Roman"/>
          <w:sz w:val="24"/>
          <w:szCs w:val="24"/>
        </w:rPr>
        <w:t>ve (5) years. I</w:t>
      </w:r>
      <w:r>
        <w:rPr>
          <w:rFonts w:ascii="Times New Roman" w:hAnsi="Times New Roman" w:cs="Times New Roman"/>
          <w:sz w:val="24"/>
          <w:szCs w:val="24"/>
        </w:rPr>
        <w:t xml:space="preserve">n </w:t>
      </w:r>
      <w:r w:rsidR="00440ED1">
        <w:rPr>
          <w:rFonts w:ascii="Times New Roman" w:hAnsi="Times New Roman" w:cs="Times New Roman"/>
          <w:sz w:val="24"/>
          <w:szCs w:val="24"/>
        </w:rPr>
        <w:t xml:space="preserve"> future </w:t>
      </w:r>
      <w:r>
        <w:rPr>
          <w:rFonts w:ascii="Times New Roman" w:hAnsi="Times New Roman" w:cs="Times New Roman"/>
          <w:sz w:val="24"/>
          <w:szCs w:val="24"/>
        </w:rPr>
        <w:t>years as this report is further developed</w:t>
      </w:r>
      <w:r w:rsidR="00440ED1">
        <w:rPr>
          <w:rFonts w:ascii="Times New Roman" w:hAnsi="Times New Roman" w:cs="Times New Roman"/>
          <w:sz w:val="24"/>
          <w:szCs w:val="24"/>
        </w:rPr>
        <w:t>,</w:t>
      </w:r>
      <w:r>
        <w:rPr>
          <w:rFonts w:ascii="Times New Roman" w:hAnsi="Times New Roman" w:cs="Times New Roman"/>
          <w:sz w:val="24"/>
          <w:szCs w:val="24"/>
        </w:rPr>
        <w:t xml:space="preserve"> and with the introduction of m</w:t>
      </w:r>
      <w:r w:rsidR="00440ED1">
        <w:rPr>
          <w:rFonts w:ascii="Times New Roman" w:hAnsi="Times New Roman" w:cs="Times New Roman"/>
          <w:sz w:val="24"/>
          <w:szCs w:val="24"/>
        </w:rPr>
        <w:t>ore benchmarking parameters,</w:t>
      </w:r>
      <w:r>
        <w:rPr>
          <w:rFonts w:ascii="Times New Roman" w:hAnsi="Times New Roman" w:cs="Times New Roman"/>
          <w:sz w:val="24"/>
          <w:szCs w:val="24"/>
        </w:rPr>
        <w:t xml:space="preserve"> the IRC will utilize appropriate international standards by which DOMLEC can be compared with</w:t>
      </w:r>
      <w:r w:rsidR="00440ED1">
        <w:rPr>
          <w:rFonts w:ascii="Times New Roman" w:hAnsi="Times New Roman" w:cs="Times New Roman"/>
          <w:sz w:val="24"/>
          <w:szCs w:val="24"/>
        </w:rPr>
        <w:t>, so as to gauge its performance against best performing utilities.</w:t>
      </w:r>
      <w:r w:rsidRPr="004442CF">
        <w:rPr>
          <w:rFonts w:ascii="Times New Roman" w:hAnsi="Times New Roman" w:cs="Times New Roman"/>
        </w:rPr>
        <w:t xml:space="preserve"> </w:t>
      </w:r>
    </w:p>
    <w:p w:rsidR="00B74398" w:rsidRDefault="00B74398" w:rsidP="00B74398"/>
    <w:p w:rsidR="008938EB" w:rsidRPr="00440ED1" w:rsidRDefault="008938EB" w:rsidP="00D72ABE">
      <w:pPr>
        <w:pStyle w:val="Heading1"/>
        <w:rPr>
          <w:rFonts w:ascii="Times New Roman" w:hAnsi="Times New Roman" w:cs="Times New Roman"/>
          <w:color w:val="000000" w:themeColor="text1"/>
          <w:sz w:val="24"/>
          <w:szCs w:val="24"/>
        </w:rPr>
      </w:pPr>
      <w:r>
        <w:rPr>
          <w:rFonts w:ascii="Times New Roman" w:hAnsi="Times New Roman" w:cs="Times New Roman"/>
          <w:sz w:val="24"/>
          <w:szCs w:val="24"/>
        </w:rPr>
        <w:br w:type="page"/>
      </w:r>
      <w:bookmarkStart w:id="43" w:name="_Toc485128773"/>
      <w:r w:rsidR="000F1EFA">
        <w:rPr>
          <w:rFonts w:ascii="Times New Roman" w:hAnsi="Times New Roman" w:cs="Times New Roman"/>
          <w:color w:val="000000" w:themeColor="text1"/>
          <w:sz w:val="24"/>
          <w:szCs w:val="24"/>
        </w:rPr>
        <w:lastRenderedPageBreak/>
        <w:t>7</w:t>
      </w:r>
      <w:r w:rsidR="003D733F" w:rsidRPr="00440ED1">
        <w:rPr>
          <w:rFonts w:ascii="Times New Roman" w:hAnsi="Times New Roman" w:cs="Times New Roman"/>
          <w:color w:val="000000" w:themeColor="text1"/>
          <w:sz w:val="24"/>
          <w:szCs w:val="24"/>
        </w:rPr>
        <w:t>.</w:t>
      </w:r>
      <w:r w:rsidR="002F5299" w:rsidRPr="00440ED1">
        <w:rPr>
          <w:rFonts w:ascii="Times New Roman" w:hAnsi="Times New Roman" w:cs="Times New Roman"/>
          <w:color w:val="000000" w:themeColor="text1"/>
          <w:sz w:val="24"/>
          <w:szCs w:val="24"/>
        </w:rPr>
        <w:t>0</w:t>
      </w:r>
      <w:r w:rsidR="003D733F" w:rsidRPr="00440ED1">
        <w:rPr>
          <w:rFonts w:ascii="Times New Roman" w:hAnsi="Times New Roman" w:cs="Times New Roman"/>
          <w:color w:val="000000" w:themeColor="text1"/>
          <w:sz w:val="24"/>
          <w:szCs w:val="24"/>
        </w:rPr>
        <w:t xml:space="preserve"> </w:t>
      </w:r>
      <w:r w:rsidR="003D733F" w:rsidRPr="00440ED1">
        <w:rPr>
          <w:rFonts w:ascii="Times New Roman" w:hAnsi="Times New Roman" w:cs="Times New Roman"/>
          <w:color w:val="000000" w:themeColor="text1"/>
          <w:sz w:val="24"/>
          <w:szCs w:val="24"/>
          <w:u w:val="single"/>
        </w:rPr>
        <w:t>CONCLUSION</w:t>
      </w:r>
      <w:bookmarkEnd w:id="43"/>
    </w:p>
    <w:p w:rsidR="008938EB" w:rsidRPr="00D74602" w:rsidRDefault="008938EB" w:rsidP="008938EB">
      <w:pPr>
        <w:pStyle w:val="NoSpacing"/>
        <w:jc w:val="both"/>
        <w:rPr>
          <w:rFonts w:ascii="Times New Roman" w:hAnsi="Times New Roman" w:cs="Times New Roman"/>
          <w:b/>
          <w:sz w:val="24"/>
          <w:szCs w:val="24"/>
          <w:u w:val="single"/>
        </w:rPr>
      </w:pPr>
      <w:r w:rsidRPr="00D74602">
        <w:rPr>
          <w:rFonts w:ascii="Times New Roman" w:hAnsi="Times New Roman" w:cs="Times New Roman"/>
          <w:b/>
          <w:sz w:val="24"/>
          <w:szCs w:val="24"/>
          <w:u w:val="single"/>
        </w:rPr>
        <w:t xml:space="preserve"> </w:t>
      </w:r>
    </w:p>
    <w:p w:rsidR="008938EB" w:rsidRPr="00D74602" w:rsidRDefault="001E7524" w:rsidP="001E7524">
      <w:pPr>
        <w:pStyle w:val="NoSpacing"/>
        <w:jc w:val="both"/>
        <w:outlineLvl w:val="1"/>
        <w:rPr>
          <w:rFonts w:ascii="Times New Roman" w:hAnsi="Times New Roman" w:cs="Times New Roman"/>
          <w:sz w:val="24"/>
          <w:szCs w:val="24"/>
        </w:rPr>
      </w:pPr>
      <w:r w:rsidRPr="00B60632">
        <w:rPr>
          <w:rFonts w:ascii="Times New Roman" w:hAnsi="Times New Roman" w:cs="Times New Roman"/>
          <w:sz w:val="24"/>
          <w:szCs w:val="24"/>
        </w:rPr>
        <w:t>T</w:t>
      </w:r>
      <w:r w:rsidR="008938EB" w:rsidRPr="00D74602">
        <w:rPr>
          <w:rFonts w:ascii="Times New Roman" w:hAnsi="Times New Roman" w:cs="Times New Roman"/>
          <w:sz w:val="24"/>
          <w:szCs w:val="24"/>
        </w:rPr>
        <w:t xml:space="preserve">he report focuses on </w:t>
      </w:r>
      <w:r w:rsidR="00DA6149">
        <w:rPr>
          <w:rFonts w:ascii="Times New Roman" w:hAnsi="Times New Roman" w:cs="Times New Roman"/>
          <w:sz w:val="24"/>
          <w:szCs w:val="24"/>
        </w:rPr>
        <w:t xml:space="preserve">a </w:t>
      </w:r>
      <w:r w:rsidR="008938EB" w:rsidRPr="00D74602">
        <w:rPr>
          <w:rFonts w:ascii="Times New Roman" w:hAnsi="Times New Roman" w:cs="Times New Roman"/>
          <w:sz w:val="24"/>
          <w:szCs w:val="24"/>
        </w:rPr>
        <w:t>comparative analysis that addresses the progress made between 2012 and 2016 and the performance of similar utili</w:t>
      </w:r>
      <w:r w:rsidR="008938EB">
        <w:rPr>
          <w:rFonts w:ascii="Times New Roman" w:hAnsi="Times New Roman" w:cs="Times New Roman"/>
          <w:sz w:val="24"/>
          <w:szCs w:val="24"/>
        </w:rPr>
        <w:t xml:space="preserve">ties in the </w:t>
      </w:r>
      <w:r w:rsidR="00FA33AC">
        <w:rPr>
          <w:rFonts w:ascii="Times New Roman" w:hAnsi="Times New Roman" w:cs="Times New Roman"/>
          <w:sz w:val="24"/>
          <w:szCs w:val="24"/>
        </w:rPr>
        <w:t>OECS</w:t>
      </w:r>
      <w:r w:rsidR="00440ED1">
        <w:rPr>
          <w:rFonts w:ascii="Times New Roman" w:hAnsi="Times New Roman" w:cs="Times New Roman"/>
          <w:sz w:val="24"/>
          <w:szCs w:val="24"/>
        </w:rPr>
        <w:t>.  Several</w:t>
      </w:r>
      <w:r w:rsidR="00CC7C7B">
        <w:rPr>
          <w:rFonts w:ascii="Times New Roman" w:hAnsi="Times New Roman" w:cs="Times New Roman"/>
          <w:sz w:val="24"/>
          <w:szCs w:val="24"/>
        </w:rPr>
        <w:t xml:space="preserve"> performance indicators utilized</w:t>
      </w:r>
      <w:r w:rsidR="008938EB" w:rsidRPr="00D74602">
        <w:rPr>
          <w:rFonts w:ascii="Times New Roman" w:hAnsi="Times New Roman" w:cs="Times New Roman"/>
          <w:sz w:val="24"/>
          <w:szCs w:val="24"/>
        </w:rPr>
        <w:t xml:space="preserve"> by the regulators</w:t>
      </w:r>
      <w:r w:rsidR="00CC7C7B">
        <w:rPr>
          <w:rFonts w:ascii="Times New Roman" w:hAnsi="Times New Roman" w:cs="Times New Roman"/>
          <w:sz w:val="24"/>
          <w:szCs w:val="24"/>
        </w:rPr>
        <w:t>,</w:t>
      </w:r>
      <w:r w:rsidR="008938EB" w:rsidRPr="00D74602">
        <w:rPr>
          <w:rFonts w:ascii="Times New Roman" w:hAnsi="Times New Roman" w:cs="Times New Roman"/>
          <w:sz w:val="24"/>
          <w:szCs w:val="24"/>
        </w:rPr>
        <w:t xml:space="preserve"> that target key aspects of the company</w:t>
      </w:r>
      <w:r w:rsidR="00CC7C7B">
        <w:rPr>
          <w:rFonts w:ascii="Times New Roman" w:hAnsi="Times New Roman" w:cs="Times New Roman"/>
          <w:sz w:val="24"/>
          <w:szCs w:val="24"/>
        </w:rPr>
        <w:t>’s</w:t>
      </w:r>
      <w:r w:rsidR="008938EB" w:rsidRPr="00D74602">
        <w:rPr>
          <w:rFonts w:ascii="Times New Roman" w:hAnsi="Times New Roman" w:cs="Times New Roman"/>
          <w:sz w:val="24"/>
          <w:szCs w:val="24"/>
        </w:rPr>
        <w:t xml:space="preserve"> operation such as Technical, </w:t>
      </w:r>
      <w:r w:rsidR="008938EB">
        <w:rPr>
          <w:rFonts w:ascii="Times New Roman" w:hAnsi="Times New Roman" w:cs="Times New Roman"/>
          <w:sz w:val="24"/>
          <w:szCs w:val="24"/>
        </w:rPr>
        <w:t>Financial</w:t>
      </w:r>
      <w:r w:rsidR="008938EB" w:rsidRPr="00D74602">
        <w:rPr>
          <w:rFonts w:ascii="Times New Roman" w:hAnsi="Times New Roman" w:cs="Times New Roman"/>
          <w:sz w:val="24"/>
          <w:szCs w:val="24"/>
        </w:rPr>
        <w:t>, Economical and Organizational</w:t>
      </w:r>
      <w:r w:rsidR="00A54B82">
        <w:rPr>
          <w:rFonts w:ascii="Times New Roman" w:hAnsi="Times New Roman" w:cs="Times New Roman"/>
          <w:sz w:val="24"/>
          <w:szCs w:val="24"/>
        </w:rPr>
        <w:t xml:space="preserve"> </w:t>
      </w:r>
      <w:r w:rsidR="00CC7C7B" w:rsidRPr="00D74602">
        <w:rPr>
          <w:rFonts w:ascii="Times New Roman" w:hAnsi="Times New Roman" w:cs="Times New Roman"/>
          <w:sz w:val="24"/>
          <w:szCs w:val="24"/>
        </w:rPr>
        <w:t xml:space="preserve">performance </w:t>
      </w:r>
      <w:r w:rsidR="00CC7C7B">
        <w:rPr>
          <w:rFonts w:ascii="Times New Roman" w:hAnsi="Times New Roman" w:cs="Times New Roman"/>
          <w:sz w:val="24"/>
          <w:szCs w:val="24"/>
        </w:rPr>
        <w:t>were analyzed to determine</w:t>
      </w:r>
      <w:r w:rsidR="008938EB">
        <w:rPr>
          <w:rFonts w:ascii="Times New Roman" w:hAnsi="Times New Roman" w:cs="Times New Roman"/>
          <w:sz w:val="24"/>
          <w:szCs w:val="24"/>
        </w:rPr>
        <w:t xml:space="preserve"> whether or not growth was achieved in </w:t>
      </w:r>
      <w:r w:rsidR="008566E0">
        <w:rPr>
          <w:rFonts w:ascii="Times New Roman" w:hAnsi="Times New Roman" w:cs="Times New Roman"/>
          <w:sz w:val="24"/>
          <w:szCs w:val="24"/>
        </w:rPr>
        <w:t>the general</w:t>
      </w:r>
      <w:r w:rsidR="008938EB">
        <w:rPr>
          <w:rFonts w:ascii="Times New Roman" w:hAnsi="Times New Roman" w:cs="Times New Roman"/>
          <w:sz w:val="24"/>
          <w:szCs w:val="24"/>
        </w:rPr>
        <w:t xml:space="preserve"> operation</w:t>
      </w:r>
      <w:r w:rsidR="00CC7C7B">
        <w:rPr>
          <w:rFonts w:ascii="Times New Roman" w:hAnsi="Times New Roman" w:cs="Times New Roman"/>
          <w:sz w:val="24"/>
          <w:szCs w:val="24"/>
        </w:rPr>
        <w:t xml:space="preserve"> of the company.  The indicators </w:t>
      </w:r>
      <w:r w:rsidR="008938EB">
        <w:rPr>
          <w:rFonts w:ascii="Times New Roman" w:hAnsi="Times New Roman" w:cs="Times New Roman"/>
          <w:sz w:val="24"/>
          <w:szCs w:val="24"/>
        </w:rPr>
        <w:t>also indicated the level of efficiency or inefficiency denoted</w:t>
      </w:r>
      <w:r w:rsidR="008938EB" w:rsidRPr="00D74602">
        <w:rPr>
          <w:rFonts w:ascii="Times New Roman" w:hAnsi="Times New Roman" w:cs="Times New Roman"/>
          <w:sz w:val="24"/>
          <w:szCs w:val="24"/>
        </w:rPr>
        <w:t xml:space="preserve"> in the area</w:t>
      </w:r>
      <w:r w:rsidR="008C03A0">
        <w:rPr>
          <w:rFonts w:ascii="Times New Roman" w:hAnsi="Times New Roman" w:cs="Times New Roman"/>
          <w:sz w:val="24"/>
          <w:szCs w:val="24"/>
        </w:rPr>
        <w:t>s</w:t>
      </w:r>
      <w:r w:rsidR="008938EB" w:rsidRPr="00D74602">
        <w:rPr>
          <w:rFonts w:ascii="Times New Roman" w:hAnsi="Times New Roman" w:cs="Times New Roman"/>
          <w:sz w:val="24"/>
          <w:szCs w:val="24"/>
        </w:rPr>
        <w:t xml:space="preserve"> of generation, transmis</w:t>
      </w:r>
      <w:r w:rsidR="008938EB">
        <w:rPr>
          <w:rFonts w:ascii="Times New Roman" w:hAnsi="Times New Roman" w:cs="Times New Roman"/>
          <w:sz w:val="24"/>
          <w:szCs w:val="24"/>
        </w:rPr>
        <w:t>sion and distribution of energy</w:t>
      </w:r>
      <w:r w:rsidR="008938EB" w:rsidRPr="00D74602">
        <w:rPr>
          <w:rFonts w:ascii="Times New Roman" w:hAnsi="Times New Roman" w:cs="Times New Roman"/>
          <w:sz w:val="24"/>
          <w:szCs w:val="24"/>
        </w:rPr>
        <w:t>.</w:t>
      </w:r>
    </w:p>
    <w:p w:rsidR="008938EB" w:rsidRPr="00D74602" w:rsidRDefault="008938EB" w:rsidP="008938EB">
      <w:pPr>
        <w:pStyle w:val="ListParagraph"/>
        <w:ind w:left="0"/>
        <w:rPr>
          <w:rFonts w:ascii="Times New Roman" w:hAnsi="Times New Roman" w:cs="Times New Roman"/>
          <w:sz w:val="24"/>
          <w:szCs w:val="24"/>
        </w:rPr>
      </w:pPr>
    </w:p>
    <w:p w:rsidR="008938EB" w:rsidRDefault="008938EB" w:rsidP="008938EB">
      <w:pPr>
        <w:pStyle w:val="NoSpacing"/>
        <w:tabs>
          <w:tab w:val="left" w:pos="1320"/>
        </w:tabs>
        <w:jc w:val="both"/>
        <w:rPr>
          <w:rFonts w:ascii="Times New Roman" w:hAnsi="Times New Roman" w:cs="Times New Roman"/>
          <w:sz w:val="24"/>
          <w:szCs w:val="24"/>
        </w:rPr>
      </w:pPr>
      <w:r w:rsidRPr="00D74602">
        <w:rPr>
          <w:rFonts w:ascii="Times New Roman" w:hAnsi="Times New Roman" w:cs="Times New Roman"/>
          <w:sz w:val="24"/>
          <w:szCs w:val="24"/>
        </w:rPr>
        <w:t>An overview of DOMLEC’s financial</w:t>
      </w:r>
      <w:r>
        <w:rPr>
          <w:rFonts w:ascii="Times New Roman" w:hAnsi="Times New Roman" w:cs="Times New Roman"/>
          <w:sz w:val="24"/>
          <w:szCs w:val="24"/>
        </w:rPr>
        <w:t xml:space="preserve"> and organizational performance </w:t>
      </w:r>
      <w:r w:rsidRPr="00D74602">
        <w:rPr>
          <w:rFonts w:ascii="Times New Roman" w:hAnsi="Times New Roman" w:cs="Times New Roman"/>
          <w:sz w:val="24"/>
          <w:szCs w:val="24"/>
        </w:rPr>
        <w:t xml:space="preserve">illustrated that between 2012 to 2016 profit grew by 63.10%.   This was mainly due to </w:t>
      </w:r>
      <w:r w:rsidR="007171D2">
        <w:rPr>
          <w:rFonts w:ascii="Times New Roman" w:hAnsi="Times New Roman" w:cs="Times New Roman"/>
          <w:sz w:val="24"/>
          <w:szCs w:val="24"/>
        </w:rPr>
        <w:t xml:space="preserve">a </w:t>
      </w:r>
      <w:r w:rsidRPr="00D74602">
        <w:rPr>
          <w:rFonts w:ascii="Times New Roman" w:hAnsi="Times New Roman" w:cs="Times New Roman"/>
          <w:sz w:val="24"/>
          <w:szCs w:val="24"/>
        </w:rPr>
        <w:t>decrease in total expenditure of 25</w:t>
      </w:r>
      <w:r>
        <w:rPr>
          <w:rFonts w:ascii="Times New Roman" w:hAnsi="Times New Roman" w:cs="Times New Roman"/>
          <w:sz w:val="24"/>
          <w:szCs w:val="24"/>
        </w:rPr>
        <w:t xml:space="preserve">% </w:t>
      </w:r>
      <w:r w:rsidR="007171D2">
        <w:rPr>
          <w:rFonts w:ascii="Times New Roman" w:hAnsi="Times New Roman" w:cs="Times New Roman"/>
          <w:sz w:val="24"/>
          <w:szCs w:val="24"/>
        </w:rPr>
        <w:t>over</w:t>
      </w:r>
      <w:r w:rsidRPr="00D74602">
        <w:rPr>
          <w:rFonts w:ascii="Times New Roman" w:hAnsi="Times New Roman" w:cs="Times New Roman"/>
          <w:sz w:val="24"/>
          <w:szCs w:val="24"/>
        </w:rPr>
        <w:t xml:space="preserve"> the same period. </w:t>
      </w:r>
      <w:r>
        <w:rPr>
          <w:rFonts w:ascii="Times New Roman" w:hAnsi="Times New Roman" w:cs="Times New Roman"/>
          <w:sz w:val="24"/>
          <w:szCs w:val="24"/>
        </w:rPr>
        <w:t xml:space="preserve"> It </w:t>
      </w:r>
      <w:r w:rsidR="00FC0A14">
        <w:rPr>
          <w:rFonts w:ascii="Times New Roman" w:hAnsi="Times New Roman" w:cs="Times New Roman"/>
          <w:sz w:val="24"/>
          <w:szCs w:val="24"/>
        </w:rPr>
        <w:t>was also</w:t>
      </w:r>
      <w:r w:rsidRPr="00D74602">
        <w:rPr>
          <w:rFonts w:ascii="Times New Roman" w:hAnsi="Times New Roman" w:cs="Times New Roman"/>
          <w:sz w:val="24"/>
          <w:szCs w:val="24"/>
        </w:rPr>
        <w:t xml:space="preserve"> influenced by the reduction in fuel cost</w:t>
      </w:r>
      <w:r w:rsidR="007171D2">
        <w:rPr>
          <w:rFonts w:ascii="Times New Roman" w:hAnsi="Times New Roman" w:cs="Times New Roman"/>
          <w:sz w:val="24"/>
          <w:szCs w:val="24"/>
        </w:rPr>
        <w:t>s</w:t>
      </w:r>
      <w:r w:rsidRPr="00D74602">
        <w:rPr>
          <w:rFonts w:ascii="Times New Roman" w:hAnsi="Times New Roman" w:cs="Times New Roman"/>
          <w:sz w:val="24"/>
          <w:szCs w:val="24"/>
        </w:rPr>
        <w:t xml:space="preserve"> on the global market from 2015. </w:t>
      </w:r>
      <w:r>
        <w:rPr>
          <w:rFonts w:ascii="Times New Roman" w:hAnsi="Times New Roman" w:cs="Times New Roman"/>
          <w:sz w:val="24"/>
          <w:szCs w:val="24"/>
        </w:rPr>
        <w:t xml:space="preserve">In general, the </w:t>
      </w:r>
      <w:r w:rsidR="007171D2">
        <w:rPr>
          <w:rFonts w:ascii="Times New Roman" w:hAnsi="Times New Roman" w:cs="Times New Roman"/>
          <w:sz w:val="24"/>
          <w:szCs w:val="24"/>
        </w:rPr>
        <w:t xml:space="preserve">financial </w:t>
      </w:r>
      <w:r>
        <w:rPr>
          <w:rFonts w:ascii="Times New Roman" w:hAnsi="Times New Roman" w:cs="Times New Roman"/>
          <w:sz w:val="24"/>
          <w:szCs w:val="24"/>
        </w:rPr>
        <w:t>indicator</w:t>
      </w:r>
      <w:r w:rsidR="007171D2">
        <w:rPr>
          <w:rFonts w:ascii="Times New Roman" w:hAnsi="Times New Roman" w:cs="Times New Roman"/>
          <w:sz w:val="24"/>
          <w:szCs w:val="24"/>
        </w:rPr>
        <w:t>s</w:t>
      </w:r>
      <w:r>
        <w:rPr>
          <w:rFonts w:ascii="Times New Roman" w:hAnsi="Times New Roman" w:cs="Times New Roman"/>
          <w:sz w:val="24"/>
          <w:szCs w:val="24"/>
        </w:rPr>
        <w:t xml:space="preserve"> showed tha</w:t>
      </w:r>
      <w:r w:rsidR="00FC0A14">
        <w:rPr>
          <w:rFonts w:ascii="Times New Roman" w:hAnsi="Times New Roman" w:cs="Times New Roman"/>
          <w:sz w:val="24"/>
          <w:szCs w:val="24"/>
        </w:rPr>
        <w:t>t DOMLEC is financially sound</w:t>
      </w:r>
      <w:r w:rsidR="007171D2">
        <w:rPr>
          <w:rFonts w:ascii="Times New Roman" w:hAnsi="Times New Roman" w:cs="Times New Roman"/>
          <w:sz w:val="24"/>
          <w:szCs w:val="24"/>
        </w:rPr>
        <w:t>.</w:t>
      </w:r>
      <w:r>
        <w:rPr>
          <w:rFonts w:ascii="Times New Roman" w:hAnsi="Times New Roman" w:cs="Times New Roman"/>
          <w:sz w:val="24"/>
          <w:szCs w:val="24"/>
        </w:rPr>
        <w:t xml:space="preserve"> Most of the financial indicators showed that GRENLEC performed </w:t>
      </w:r>
      <w:r w:rsidR="007171D2">
        <w:rPr>
          <w:rFonts w:ascii="Times New Roman" w:hAnsi="Times New Roman" w:cs="Times New Roman"/>
          <w:sz w:val="24"/>
          <w:szCs w:val="24"/>
        </w:rPr>
        <w:t xml:space="preserve">better than its counterparts in </w:t>
      </w:r>
      <w:r>
        <w:rPr>
          <w:rFonts w:ascii="Times New Roman" w:hAnsi="Times New Roman" w:cs="Times New Roman"/>
          <w:sz w:val="24"/>
          <w:szCs w:val="24"/>
        </w:rPr>
        <w:t xml:space="preserve">the </w:t>
      </w:r>
      <w:r w:rsidR="007171D2">
        <w:rPr>
          <w:rFonts w:ascii="Times New Roman" w:hAnsi="Times New Roman" w:cs="Times New Roman"/>
          <w:sz w:val="24"/>
          <w:szCs w:val="24"/>
        </w:rPr>
        <w:t>OECS b</w:t>
      </w:r>
      <w:r>
        <w:rPr>
          <w:rFonts w:ascii="Times New Roman" w:hAnsi="Times New Roman" w:cs="Times New Roman"/>
          <w:sz w:val="24"/>
          <w:szCs w:val="24"/>
        </w:rPr>
        <w:t>etween 2012 and 2015.</w:t>
      </w:r>
    </w:p>
    <w:p w:rsidR="008938EB" w:rsidRPr="00D74602" w:rsidRDefault="008938EB" w:rsidP="008938EB">
      <w:pPr>
        <w:pStyle w:val="NoSpacing"/>
        <w:tabs>
          <w:tab w:val="left" w:pos="1320"/>
        </w:tabs>
        <w:jc w:val="both"/>
        <w:rPr>
          <w:rFonts w:ascii="Times New Roman" w:hAnsi="Times New Roman" w:cs="Times New Roman"/>
          <w:sz w:val="24"/>
          <w:szCs w:val="24"/>
        </w:rPr>
      </w:pPr>
    </w:p>
    <w:p w:rsidR="008938EB" w:rsidRPr="00D74602" w:rsidRDefault="00CC7C7B" w:rsidP="008938EB">
      <w:pPr>
        <w:pStyle w:val="NoSpacing"/>
        <w:tabs>
          <w:tab w:val="left" w:pos="1320"/>
        </w:tabs>
        <w:jc w:val="both"/>
        <w:rPr>
          <w:rFonts w:ascii="Times New Roman" w:hAnsi="Times New Roman" w:cs="Times New Roman"/>
          <w:sz w:val="24"/>
          <w:szCs w:val="24"/>
        </w:rPr>
      </w:pPr>
      <w:r>
        <w:rPr>
          <w:rFonts w:ascii="Times New Roman" w:hAnsi="Times New Roman" w:cs="Times New Roman"/>
          <w:sz w:val="24"/>
          <w:szCs w:val="24"/>
        </w:rPr>
        <w:t xml:space="preserve">The economic </w:t>
      </w:r>
      <w:r w:rsidR="008938EB">
        <w:rPr>
          <w:rFonts w:ascii="Times New Roman" w:hAnsi="Times New Roman" w:cs="Times New Roman"/>
          <w:sz w:val="24"/>
          <w:szCs w:val="24"/>
        </w:rPr>
        <w:t xml:space="preserve">indicators showed that DOMLEC </w:t>
      </w:r>
      <w:r w:rsidR="008938EB" w:rsidRPr="00D74602">
        <w:rPr>
          <w:rFonts w:ascii="Times New Roman" w:hAnsi="Times New Roman" w:cs="Times New Roman"/>
          <w:sz w:val="24"/>
          <w:szCs w:val="24"/>
        </w:rPr>
        <w:t xml:space="preserve">enjoyed growth in </w:t>
      </w:r>
      <w:r w:rsidR="008938EB">
        <w:rPr>
          <w:rFonts w:ascii="Times New Roman" w:hAnsi="Times New Roman" w:cs="Times New Roman"/>
          <w:sz w:val="24"/>
          <w:szCs w:val="24"/>
        </w:rPr>
        <w:t>productivity</w:t>
      </w:r>
      <w:r w:rsidR="008938EB" w:rsidRPr="00D74602">
        <w:rPr>
          <w:rFonts w:ascii="Times New Roman" w:hAnsi="Times New Roman" w:cs="Times New Roman"/>
          <w:sz w:val="24"/>
          <w:szCs w:val="24"/>
        </w:rPr>
        <w:t xml:space="preserve"> and</w:t>
      </w:r>
      <w:r w:rsidR="008938EB">
        <w:rPr>
          <w:rFonts w:ascii="Times New Roman" w:hAnsi="Times New Roman" w:cs="Times New Roman"/>
          <w:sz w:val="24"/>
          <w:szCs w:val="24"/>
        </w:rPr>
        <w:t xml:space="preserve"> made best use of its resources</w:t>
      </w:r>
      <w:r w:rsidR="008938EB" w:rsidRPr="00D74602">
        <w:rPr>
          <w:rFonts w:ascii="Times New Roman" w:hAnsi="Times New Roman" w:cs="Times New Roman"/>
          <w:sz w:val="24"/>
          <w:szCs w:val="24"/>
        </w:rPr>
        <w:t xml:space="preserve"> in key functional areas.  </w:t>
      </w:r>
    </w:p>
    <w:p w:rsidR="00CB1C1B" w:rsidRPr="00D74602" w:rsidRDefault="00CB1C1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590CDB" w:rsidRPr="00D74602" w:rsidRDefault="00590CDB" w:rsidP="004154F2">
      <w:pPr>
        <w:rPr>
          <w:rFonts w:ascii="Times New Roman" w:hAnsi="Times New Roman" w:cs="Times New Roman"/>
          <w:sz w:val="24"/>
          <w:szCs w:val="24"/>
        </w:rPr>
      </w:pPr>
    </w:p>
    <w:p w:rsidR="007171D2" w:rsidRDefault="007171D2" w:rsidP="0080037B">
      <w:pPr>
        <w:jc w:val="center"/>
        <w:rPr>
          <w:rFonts w:ascii="Times New Roman" w:hAnsi="Times New Roman" w:cs="Times New Roman"/>
          <w:b/>
          <w:sz w:val="40"/>
          <w:szCs w:val="40"/>
        </w:rPr>
      </w:pPr>
    </w:p>
    <w:p w:rsidR="007171D2" w:rsidRDefault="007171D2" w:rsidP="0080037B">
      <w:pPr>
        <w:jc w:val="center"/>
        <w:rPr>
          <w:rFonts w:ascii="Times New Roman" w:hAnsi="Times New Roman" w:cs="Times New Roman"/>
          <w:b/>
          <w:sz w:val="40"/>
          <w:szCs w:val="40"/>
        </w:rPr>
      </w:pPr>
    </w:p>
    <w:p w:rsidR="007171D2" w:rsidRDefault="007171D2" w:rsidP="0080037B">
      <w:pPr>
        <w:jc w:val="center"/>
        <w:rPr>
          <w:rFonts w:ascii="Times New Roman" w:hAnsi="Times New Roman" w:cs="Times New Roman"/>
          <w:b/>
          <w:sz w:val="40"/>
          <w:szCs w:val="40"/>
        </w:rPr>
      </w:pPr>
    </w:p>
    <w:p w:rsidR="007171D2" w:rsidRDefault="007171D2" w:rsidP="0080037B">
      <w:pPr>
        <w:jc w:val="center"/>
        <w:rPr>
          <w:rFonts w:ascii="Times New Roman" w:hAnsi="Times New Roman" w:cs="Times New Roman"/>
          <w:b/>
          <w:sz w:val="40"/>
          <w:szCs w:val="40"/>
        </w:rPr>
      </w:pPr>
    </w:p>
    <w:p w:rsidR="007171D2" w:rsidRDefault="007171D2" w:rsidP="0080037B">
      <w:pPr>
        <w:jc w:val="center"/>
        <w:rPr>
          <w:rFonts w:ascii="Times New Roman" w:hAnsi="Times New Roman" w:cs="Times New Roman"/>
          <w:b/>
          <w:sz w:val="40"/>
          <w:szCs w:val="40"/>
        </w:rPr>
      </w:pPr>
    </w:p>
    <w:p w:rsidR="007171D2" w:rsidRDefault="007171D2" w:rsidP="0080037B">
      <w:pPr>
        <w:jc w:val="center"/>
        <w:rPr>
          <w:rFonts w:ascii="Times New Roman" w:hAnsi="Times New Roman" w:cs="Times New Roman"/>
          <w:b/>
          <w:sz w:val="40"/>
          <w:szCs w:val="40"/>
        </w:rPr>
      </w:pPr>
    </w:p>
    <w:p w:rsidR="007171D2" w:rsidRDefault="007171D2" w:rsidP="0080037B">
      <w:pPr>
        <w:jc w:val="center"/>
        <w:rPr>
          <w:rFonts w:ascii="Times New Roman" w:hAnsi="Times New Roman" w:cs="Times New Roman"/>
          <w:b/>
          <w:sz w:val="40"/>
          <w:szCs w:val="40"/>
        </w:rPr>
      </w:pPr>
    </w:p>
    <w:p w:rsidR="0080037B" w:rsidRDefault="007171D2" w:rsidP="0080037B">
      <w:pPr>
        <w:jc w:val="center"/>
        <w:rPr>
          <w:rFonts w:ascii="Times New Roman" w:hAnsi="Times New Roman" w:cs="Times New Roman"/>
          <w:b/>
          <w:sz w:val="40"/>
          <w:szCs w:val="40"/>
        </w:rPr>
      </w:pPr>
      <w:r>
        <w:rPr>
          <w:rFonts w:ascii="Times New Roman" w:hAnsi="Times New Roman" w:cs="Times New Roman"/>
          <w:b/>
          <w:sz w:val="40"/>
          <w:szCs w:val="40"/>
        </w:rPr>
        <w:lastRenderedPageBreak/>
        <w:t>A</w:t>
      </w:r>
      <w:r w:rsidR="00590CDB" w:rsidRPr="00364D66">
        <w:rPr>
          <w:rFonts w:ascii="Times New Roman" w:hAnsi="Times New Roman" w:cs="Times New Roman"/>
          <w:b/>
          <w:sz w:val="40"/>
          <w:szCs w:val="40"/>
        </w:rPr>
        <w:t>PPENDIX</w:t>
      </w:r>
    </w:p>
    <w:p w:rsidR="005C252D" w:rsidRDefault="0080037B" w:rsidP="0080037B">
      <w:pPr>
        <w:jc w:val="center"/>
        <w:rPr>
          <w:sz w:val="24"/>
          <w:szCs w:val="24"/>
        </w:rPr>
      </w:pPr>
      <w:r>
        <w:rPr>
          <w:sz w:val="24"/>
          <w:szCs w:val="24"/>
        </w:rPr>
        <w:t>Technical Formulas</w:t>
      </w:r>
    </w:p>
    <w:p w:rsidR="000D760F" w:rsidRPr="00C54AED" w:rsidRDefault="000D760F" w:rsidP="0080037B">
      <w:pPr>
        <w:jc w:val="center"/>
        <w:rPr>
          <w:sz w:val="16"/>
          <w:szCs w:val="16"/>
        </w:rPr>
      </w:pPr>
    </w:p>
    <w:tbl>
      <w:tblPr>
        <w:tblW w:w="10436" w:type="dxa"/>
        <w:tblInd w:w="108" w:type="dxa"/>
        <w:tblLook w:val="04A0"/>
      </w:tblPr>
      <w:tblGrid>
        <w:gridCol w:w="10436"/>
      </w:tblGrid>
      <w:tr w:rsidR="008F133F" w:rsidRPr="00C54AED" w:rsidTr="000B4E86">
        <w:trPr>
          <w:trHeight w:val="576"/>
        </w:trPr>
        <w:tc>
          <w:tcPr>
            <w:tcW w:w="10436" w:type="dxa"/>
            <w:tcBorders>
              <w:top w:val="nil"/>
              <w:left w:val="nil"/>
              <w:right w:val="nil"/>
            </w:tcBorders>
            <w:shd w:val="clear" w:color="auto" w:fill="auto"/>
            <w:noWrap/>
            <w:vAlign w:val="bottom"/>
            <w:hideMark/>
          </w:tcPr>
          <w:p w:rsidR="008F133F" w:rsidRDefault="008F133F" w:rsidP="00D935E2">
            <w:pPr>
              <w:pStyle w:val="ListParagraph"/>
              <w:ind w:left="72"/>
              <w:jc w:val="left"/>
              <w:rPr>
                <w:rFonts w:ascii="Calibri" w:eastAsia="Times New Roman" w:hAnsi="Calibri" w:cs="Times New Roman"/>
                <w:color w:val="000000"/>
                <w:sz w:val="20"/>
                <w:szCs w:val="20"/>
              </w:rPr>
            </w:pPr>
          </w:p>
          <w:p w:rsidR="00565AA7" w:rsidRPr="00C54AED" w:rsidRDefault="00565AA7" w:rsidP="00565AA7">
            <w:pPr>
              <w:pStyle w:val="ListParagraph"/>
              <w:ind w:left="72"/>
              <w:jc w:val="left"/>
              <w:rPr>
                <w:rFonts w:ascii="Calibri" w:eastAsia="Times New Roman" w:hAnsi="Calibri" w:cs="Times New Roman"/>
                <w:color w:val="000000"/>
                <w:sz w:val="20"/>
                <w:szCs w:val="20"/>
              </w:rPr>
            </w:pPr>
          </w:p>
          <w:p w:rsidR="008F133F" w:rsidRDefault="008F133F" w:rsidP="00875AF0">
            <w:pPr>
              <w:pStyle w:val="ListParagraph"/>
              <w:numPr>
                <w:ilvl w:val="0"/>
                <w:numId w:val="9"/>
              </w:numPr>
              <w:ind w:left="72" w:hanging="180"/>
              <w:jc w:val="left"/>
              <w:rPr>
                <w:rFonts w:ascii="Calibri" w:eastAsia="Times New Roman" w:hAnsi="Calibri" w:cs="Times New Roman"/>
                <w:color w:val="000000"/>
                <w:sz w:val="20"/>
                <w:szCs w:val="20"/>
              </w:rPr>
            </w:pPr>
            <w:r w:rsidRPr="00C54AED">
              <w:rPr>
                <w:rFonts w:ascii="Calibri" w:eastAsia="Times New Roman" w:hAnsi="Calibri" w:cs="Times New Roman"/>
                <w:color w:val="000000"/>
                <w:sz w:val="20"/>
                <w:szCs w:val="20"/>
              </w:rPr>
              <w:t>Capacity Factor(%)=(Gross Generation (MWh)*100/Total Installed Generation Capacity(MW)*8760</w:t>
            </w:r>
          </w:p>
          <w:p w:rsidR="00565AA7" w:rsidRPr="00C54AED" w:rsidRDefault="00565AA7" w:rsidP="00565AA7">
            <w:pPr>
              <w:pStyle w:val="ListParagraph"/>
              <w:ind w:left="72"/>
              <w:jc w:val="left"/>
              <w:rPr>
                <w:rFonts w:ascii="Calibri" w:eastAsia="Times New Roman" w:hAnsi="Calibri" w:cs="Times New Roman"/>
                <w:color w:val="000000"/>
                <w:sz w:val="20"/>
                <w:szCs w:val="20"/>
              </w:rPr>
            </w:pPr>
          </w:p>
        </w:tc>
      </w:tr>
    </w:tbl>
    <w:p w:rsidR="008F133F" w:rsidRDefault="00D935E2" w:rsidP="008F133F">
      <w:pPr>
        <w:rPr>
          <w:rFonts w:ascii="Calibri" w:eastAsia="Times New Roman" w:hAnsi="Calibri" w:cs="Times New Roman"/>
          <w:color w:val="000000"/>
          <w:sz w:val="20"/>
          <w:szCs w:val="20"/>
        </w:rPr>
      </w:pPr>
      <w:r>
        <w:rPr>
          <w:sz w:val="20"/>
          <w:szCs w:val="20"/>
        </w:rPr>
        <w:t>2</w:t>
      </w:r>
      <w:r w:rsidR="008F133F" w:rsidRPr="00C54AED">
        <w:rPr>
          <w:sz w:val="20"/>
          <w:szCs w:val="20"/>
        </w:rPr>
        <w:t>. Delivery</w:t>
      </w:r>
      <w:r w:rsidR="00D65E8E" w:rsidRPr="00C54AED">
        <w:rPr>
          <w:sz w:val="20"/>
          <w:szCs w:val="20"/>
        </w:rPr>
        <w:t xml:space="preserve"> Losses</w:t>
      </w:r>
      <w:r w:rsidR="008F133F" w:rsidRPr="00C54AED">
        <w:rPr>
          <w:rFonts w:ascii="Calibri" w:eastAsia="Times New Roman" w:hAnsi="Calibri" w:cs="Times New Roman"/>
          <w:color w:val="000000"/>
          <w:sz w:val="20"/>
          <w:szCs w:val="20"/>
        </w:rPr>
        <w:t>(%)=(Net Generation MWh-Electricity Sold (MWh) *100/Electricity Sold (MWh)</w:t>
      </w:r>
    </w:p>
    <w:p w:rsidR="00565AA7" w:rsidRPr="00C54AED" w:rsidRDefault="00565AA7" w:rsidP="008F133F">
      <w:pPr>
        <w:rPr>
          <w:rFonts w:ascii="Calibri" w:eastAsia="Times New Roman" w:hAnsi="Calibri" w:cs="Times New Roman"/>
          <w:color w:val="000000"/>
          <w:sz w:val="20"/>
          <w:szCs w:val="20"/>
        </w:rPr>
      </w:pPr>
    </w:p>
    <w:p w:rsidR="00C54AED" w:rsidRDefault="00D935E2" w:rsidP="008F133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8F133F" w:rsidRPr="00C54AED">
        <w:rPr>
          <w:rFonts w:ascii="Calibri" w:eastAsia="Times New Roman" w:hAnsi="Calibri" w:cs="Times New Roman"/>
          <w:color w:val="000000"/>
          <w:sz w:val="20"/>
          <w:szCs w:val="20"/>
        </w:rPr>
        <w:t xml:space="preserve">. </w:t>
      </w:r>
      <w:r w:rsidR="00D65E8E" w:rsidRPr="00C54AED">
        <w:rPr>
          <w:sz w:val="20"/>
          <w:szCs w:val="20"/>
        </w:rPr>
        <w:t>Distribution Lo</w:t>
      </w:r>
      <w:r w:rsidR="008F133F" w:rsidRPr="00C54AED">
        <w:rPr>
          <w:sz w:val="20"/>
          <w:szCs w:val="20"/>
        </w:rPr>
        <w:t>sses</w:t>
      </w:r>
      <w:r w:rsidR="008F133F" w:rsidRPr="00C54AED">
        <w:rPr>
          <w:rFonts w:ascii="Calibri" w:eastAsia="Times New Roman" w:hAnsi="Calibri" w:cs="Times New Roman"/>
          <w:color w:val="000000"/>
          <w:sz w:val="20"/>
          <w:szCs w:val="20"/>
        </w:rPr>
        <w:t xml:space="preserve">(%)=(Electricity Delivered (MWh)-Electricity Sold(MWh)*100/Electricity Delivered to </w:t>
      </w:r>
      <w:r w:rsidR="00C54AED">
        <w:rPr>
          <w:rFonts w:ascii="Calibri" w:eastAsia="Times New Roman" w:hAnsi="Calibri" w:cs="Times New Roman"/>
          <w:color w:val="000000"/>
          <w:sz w:val="20"/>
          <w:szCs w:val="20"/>
        </w:rPr>
        <w:t xml:space="preserve">     </w:t>
      </w:r>
    </w:p>
    <w:p w:rsidR="008F133F" w:rsidRDefault="00D935E2" w:rsidP="008F133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4AED">
        <w:rPr>
          <w:rFonts w:ascii="Calibri" w:eastAsia="Times New Roman" w:hAnsi="Calibri" w:cs="Times New Roman"/>
          <w:color w:val="000000"/>
          <w:sz w:val="20"/>
          <w:szCs w:val="20"/>
        </w:rPr>
        <w:t xml:space="preserve"> </w:t>
      </w:r>
      <w:r w:rsidR="008F133F" w:rsidRPr="00C54AED">
        <w:rPr>
          <w:rFonts w:ascii="Calibri" w:eastAsia="Times New Roman" w:hAnsi="Calibri" w:cs="Times New Roman"/>
          <w:color w:val="000000"/>
          <w:sz w:val="20"/>
          <w:szCs w:val="20"/>
        </w:rPr>
        <w:t>Distribution Network</w:t>
      </w:r>
    </w:p>
    <w:p w:rsidR="00D935E2" w:rsidRDefault="00D935E2" w:rsidP="008F133F">
      <w:pPr>
        <w:rPr>
          <w:rFonts w:ascii="Calibri" w:eastAsia="Times New Roman" w:hAnsi="Calibri" w:cs="Times New Roman"/>
          <w:color w:val="000000"/>
          <w:sz w:val="20"/>
          <w:szCs w:val="20"/>
        </w:rPr>
      </w:pPr>
    </w:p>
    <w:p w:rsidR="00D935E2" w:rsidRDefault="00D935E2" w:rsidP="008F133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4. </w:t>
      </w:r>
      <w:r w:rsidRPr="00C54AED">
        <w:rPr>
          <w:rFonts w:ascii="Calibri" w:eastAsia="Times New Roman" w:hAnsi="Calibri" w:cs="Times New Roman"/>
          <w:color w:val="000000"/>
          <w:sz w:val="20"/>
          <w:szCs w:val="20"/>
        </w:rPr>
        <w:t>Load Factor(%)=(Gross Generation(MWh)*100/Maximum Demand*8760</w:t>
      </w:r>
    </w:p>
    <w:p w:rsidR="00565AA7" w:rsidRPr="00C54AED" w:rsidRDefault="00565AA7" w:rsidP="008F133F">
      <w:pPr>
        <w:rPr>
          <w:rFonts w:ascii="Calibri" w:eastAsia="Times New Roman" w:hAnsi="Calibri" w:cs="Times New Roman"/>
          <w:color w:val="000000"/>
          <w:sz w:val="20"/>
          <w:szCs w:val="20"/>
        </w:rPr>
      </w:pPr>
    </w:p>
    <w:p w:rsidR="008F133F" w:rsidRPr="00C54AED" w:rsidRDefault="00797D89" w:rsidP="008F133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5</w:t>
      </w:r>
      <w:r w:rsidR="008F133F" w:rsidRPr="00C54AED">
        <w:rPr>
          <w:rFonts w:ascii="Calibri" w:eastAsia="Times New Roman" w:hAnsi="Calibri" w:cs="Times New Roman"/>
          <w:color w:val="000000"/>
          <w:sz w:val="20"/>
          <w:szCs w:val="20"/>
        </w:rPr>
        <w:t>. Specific Fuel Oil Consumption (kWh/L) = Total Fuel Oil Generation (kWh)/Total Fuel Usage(L) or (Imp. G)</w:t>
      </w:r>
    </w:p>
    <w:p w:rsidR="007171D2" w:rsidRDefault="007171D2" w:rsidP="005D4A78">
      <w:pPr>
        <w:rPr>
          <w:sz w:val="20"/>
          <w:szCs w:val="20"/>
        </w:rPr>
      </w:pPr>
    </w:p>
    <w:p w:rsidR="007171D2" w:rsidRDefault="007171D2"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Default="006123CA" w:rsidP="005D4A78">
      <w:pPr>
        <w:rPr>
          <w:sz w:val="20"/>
          <w:szCs w:val="20"/>
        </w:rPr>
      </w:pPr>
    </w:p>
    <w:p w:rsidR="006123CA" w:rsidRPr="00B60632" w:rsidRDefault="006123CA" w:rsidP="005D4A78">
      <w:pPr>
        <w:rPr>
          <w:sz w:val="24"/>
          <w:szCs w:val="24"/>
        </w:rPr>
      </w:pPr>
    </w:p>
    <w:p w:rsidR="006123CA" w:rsidRPr="00B60632" w:rsidRDefault="006123CA" w:rsidP="006123CA">
      <w:pPr>
        <w:jc w:val="center"/>
        <w:rPr>
          <w:b/>
          <w:sz w:val="24"/>
          <w:szCs w:val="24"/>
        </w:rPr>
      </w:pPr>
      <w:r w:rsidRPr="00B60632">
        <w:rPr>
          <w:b/>
          <w:sz w:val="24"/>
          <w:szCs w:val="24"/>
        </w:rPr>
        <w:t>REFERENCES</w:t>
      </w:r>
    </w:p>
    <w:p w:rsidR="006123CA" w:rsidRDefault="006123CA" w:rsidP="005D4A78">
      <w:pPr>
        <w:rPr>
          <w:sz w:val="20"/>
          <w:szCs w:val="20"/>
        </w:rPr>
      </w:pPr>
    </w:p>
    <w:p w:rsidR="00D935E2" w:rsidRDefault="00D935E2" w:rsidP="005D4A78">
      <w:pPr>
        <w:rPr>
          <w:sz w:val="20"/>
          <w:szCs w:val="20"/>
        </w:rPr>
      </w:pPr>
    </w:p>
    <w:p w:rsidR="00D935E2" w:rsidRPr="00B60632" w:rsidRDefault="00D935E2" w:rsidP="00D935E2">
      <w:r w:rsidRPr="00B60632">
        <w:t>1. CARILEC’s Benchmark Studies of Caribbean Utilities, 9</w:t>
      </w:r>
      <w:r w:rsidRPr="00B60632">
        <w:rPr>
          <w:vertAlign w:val="superscript"/>
        </w:rPr>
        <w:t>th</w:t>
      </w:r>
      <w:r w:rsidRPr="00B60632">
        <w:t xml:space="preserve"> – 10</w:t>
      </w:r>
      <w:r w:rsidRPr="00B60632">
        <w:rPr>
          <w:vertAlign w:val="superscript"/>
        </w:rPr>
        <w:t>th</w:t>
      </w:r>
      <w:r w:rsidRPr="00B60632">
        <w:t xml:space="preserve"> Update 2012 , 2013</w:t>
      </w:r>
    </w:p>
    <w:p w:rsidR="00D935E2" w:rsidRPr="00B60632" w:rsidRDefault="00D935E2" w:rsidP="00D935E2"/>
    <w:p w:rsidR="00D935E2" w:rsidRPr="00B60632" w:rsidRDefault="00D935E2" w:rsidP="00D935E2">
      <w:r w:rsidRPr="00B60632">
        <w:t>2. CARICOM Demographic</w:t>
      </w:r>
      <w:r w:rsidR="00383219">
        <w:t xml:space="preserve"> and Economic</w:t>
      </w:r>
      <w:r w:rsidRPr="00B60632">
        <w:t xml:space="preserve"> Indicators,” last modified June 1, 2016</w:t>
      </w:r>
    </w:p>
    <w:p w:rsidR="00D935E2" w:rsidRPr="00B60632" w:rsidRDefault="00FB7DD9" w:rsidP="00D935E2">
      <w:hyperlink r:id="rId30" w:history="1">
        <w:r w:rsidR="00D935E2" w:rsidRPr="00B60632">
          <w:rPr>
            <w:rStyle w:val="Hyperlink"/>
          </w:rPr>
          <w:t>http://www.Caricom</w:t>
        </w:r>
      </w:hyperlink>
      <w:r w:rsidR="00D935E2" w:rsidRPr="00B60632">
        <w:t xml:space="preserve"> Stats.org/databases. html.</w:t>
      </w:r>
    </w:p>
    <w:p w:rsidR="00D935E2" w:rsidRPr="00B60632" w:rsidRDefault="00D935E2" w:rsidP="00D935E2"/>
    <w:p w:rsidR="006123CA" w:rsidRPr="00B60632" w:rsidRDefault="00D935E2" w:rsidP="005D4A78">
      <w:r w:rsidRPr="00B60632">
        <w:t>3</w:t>
      </w:r>
      <w:r w:rsidR="00DC7B5A" w:rsidRPr="00B60632">
        <w:t xml:space="preserve">. </w:t>
      </w:r>
      <w:r w:rsidR="006123CA" w:rsidRPr="00B60632">
        <w:t xml:space="preserve">DOMLEC. </w:t>
      </w:r>
      <w:r w:rsidR="00300C7D" w:rsidRPr="00B60632">
        <w:t xml:space="preserve"> Annual Reports 2012 -2016.</w:t>
      </w:r>
    </w:p>
    <w:p w:rsidR="00D935E2" w:rsidRPr="00B60632" w:rsidRDefault="00D935E2" w:rsidP="00D935E2"/>
    <w:p w:rsidR="00D935E2" w:rsidRPr="00B60632" w:rsidRDefault="000F3804" w:rsidP="00D935E2">
      <w:r w:rsidRPr="00B60632">
        <w:t>4</w:t>
      </w:r>
      <w:r w:rsidR="00D935E2" w:rsidRPr="00B60632">
        <w:t>. EEI. 2014. Financial Review of US Investors Owned Electric Utility Industry.</w:t>
      </w:r>
    </w:p>
    <w:p w:rsidR="00D935E2" w:rsidRPr="00B60632" w:rsidRDefault="00D935E2" w:rsidP="00D935E2"/>
    <w:p w:rsidR="00D935E2" w:rsidRPr="00B60632" w:rsidRDefault="000F3804" w:rsidP="00D935E2">
      <w:r w:rsidRPr="00B60632">
        <w:t>5</w:t>
      </w:r>
      <w:r w:rsidR="00D935E2" w:rsidRPr="00B60632">
        <w:t>. Electricity Supply Act. 10 of 2006</w:t>
      </w:r>
    </w:p>
    <w:p w:rsidR="00D935E2" w:rsidRPr="00B60632" w:rsidRDefault="00D935E2" w:rsidP="00D935E2"/>
    <w:p w:rsidR="00D935E2" w:rsidRPr="00B60632" w:rsidRDefault="000F3804" w:rsidP="00D935E2">
      <w:r w:rsidRPr="00B60632">
        <w:t>6</w:t>
      </w:r>
      <w:r w:rsidR="00D935E2" w:rsidRPr="00B60632">
        <w:t>. Generation Licence for DOMLEC Document Ref. 2012/0012/D</w:t>
      </w:r>
    </w:p>
    <w:p w:rsidR="00300C7D" w:rsidRPr="00B60632" w:rsidRDefault="00300C7D" w:rsidP="005D4A78"/>
    <w:p w:rsidR="00300C7D" w:rsidRPr="00B60632" w:rsidRDefault="000F3804" w:rsidP="005D4A78">
      <w:r w:rsidRPr="00B60632">
        <w:t>7</w:t>
      </w:r>
      <w:r w:rsidR="00DC7B5A" w:rsidRPr="00B60632">
        <w:t xml:space="preserve">. </w:t>
      </w:r>
      <w:r w:rsidR="00300C7D" w:rsidRPr="00B60632">
        <w:t>GRENLEC.  Annual Reports 2012 – 2015.</w:t>
      </w:r>
    </w:p>
    <w:p w:rsidR="00300C7D" w:rsidRPr="00B60632" w:rsidRDefault="00300C7D" w:rsidP="005D4A78"/>
    <w:p w:rsidR="00300C7D" w:rsidRPr="00B60632" w:rsidRDefault="000F3804" w:rsidP="005D4A78">
      <w:r w:rsidRPr="00B60632">
        <w:t>8</w:t>
      </w:r>
      <w:r w:rsidR="00DC7B5A" w:rsidRPr="00B60632">
        <w:t xml:space="preserve">. </w:t>
      </w:r>
      <w:r w:rsidR="00300C7D" w:rsidRPr="00B60632">
        <w:t>LUCELEC.  Annual Report 2012 – 2015</w:t>
      </w:r>
    </w:p>
    <w:p w:rsidR="00B60632" w:rsidRPr="00B60632" w:rsidRDefault="00B60632" w:rsidP="005D4A78"/>
    <w:p w:rsidR="00B60632" w:rsidRPr="00B60632" w:rsidRDefault="00B60632" w:rsidP="005D4A78">
      <w:r w:rsidRPr="00B60632">
        <w:t>9. List of Countries by Electricity Consumption. https.//en.wikipedia.org/wiki/list_of countries-by-electricity consumption</w:t>
      </w:r>
    </w:p>
    <w:p w:rsidR="00300C7D" w:rsidRPr="00B60632" w:rsidRDefault="00300C7D" w:rsidP="005D4A78"/>
    <w:p w:rsidR="00D935E2" w:rsidRPr="00B60632" w:rsidRDefault="00B60632" w:rsidP="00D935E2">
      <w:r w:rsidRPr="00B60632">
        <w:t>10</w:t>
      </w:r>
      <w:r w:rsidR="00D935E2" w:rsidRPr="00B60632">
        <w:t>. Pacific Power Utilities. Benchmarking Report. 2011 Fiscal Year</w:t>
      </w:r>
    </w:p>
    <w:p w:rsidR="00D935E2" w:rsidRPr="00B60632" w:rsidRDefault="00D935E2" w:rsidP="00D935E2">
      <w:r w:rsidRPr="00B60632">
        <w:t xml:space="preserve"> </w:t>
      </w:r>
    </w:p>
    <w:p w:rsidR="00D935E2" w:rsidRPr="00B60632" w:rsidRDefault="000F3804" w:rsidP="00D935E2">
      <w:r w:rsidRPr="00B60632">
        <w:t>1</w:t>
      </w:r>
      <w:r w:rsidR="00B60632" w:rsidRPr="00B60632">
        <w:t>1</w:t>
      </w:r>
      <w:r w:rsidR="00D935E2" w:rsidRPr="00B60632">
        <w:t xml:space="preserve">. Prasad Tallapragada V.S.N et al., Monitoring Performance of Electric Utilities Indicator and Benchmarking in Sub-Sahara </w:t>
      </w:r>
      <w:r w:rsidR="004C1CBF" w:rsidRPr="00B60632">
        <w:t>Africa</w:t>
      </w:r>
      <w:r w:rsidR="004C1CBF">
        <w:t xml:space="preserve"> - </w:t>
      </w:r>
      <w:r w:rsidR="004C1CBF" w:rsidRPr="00B60632">
        <w:t>The</w:t>
      </w:r>
      <w:r w:rsidR="00D935E2" w:rsidRPr="00B60632">
        <w:t xml:space="preserve"> World Bank. 2009.</w:t>
      </w:r>
    </w:p>
    <w:p w:rsidR="00D935E2" w:rsidRPr="00B60632" w:rsidRDefault="00D935E2" w:rsidP="00D935E2"/>
    <w:p w:rsidR="00D935E2" w:rsidRPr="00B60632" w:rsidRDefault="000F3804" w:rsidP="00D935E2">
      <w:r w:rsidRPr="00B60632">
        <w:t>1</w:t>
      </w:r>
      <w:r w:rsidR="00B60632" w:rsidRPr="00B60632">
        <w:t>2</w:t>
      </w:r>
      <w:r w:rsidR="00D935E2" w:rsidRPr="00B60632">
        <w:t xml:space="preserve">. </w:t>
      </w:r>
      <w:r w:rsidR="004C1CBF">
        <w:t xml:space="preserve">Regulated Industry Commission. </w:t>
      </w:r>
      <w:r w:rsidR="00D935E2" w:rsidRPr="00B60632">
        <w:t>T &amp; TEC Annual Performance Indicator Report. 2014.</w:t>
      </w:r>
    </w:p>
    <w:p w:rsidR="000F3804" w:rsidRPr="00B60632" w:rsidRDefault="000F3804" w:rsidP="00D935E2"/>
    <w:p w:rsidR="000F3804" w:rsidRPr="00B60632" w:rsidRDefault="000F3804" w:rsidP="00D935E2">
      <w:r w:rsidRPr="00B60632">
        <w:t>1</w:t>
      </w:r>
      <w:r w:rsidR="00B60632" w:rsidRPr="00B60632">
        <w:t>3</w:t>
      </w:r>
      <w:r w:rsidRPr="00B60632">
        <w:t>. Review,</w:t>
      </w:r>
      <w:hyperlink r:id="rId31" w:history="1">
        <w:r w:rsidRPr="00B60632">
          <w:rPr>
            <w:rStyle w:val="Hyperlink"/>
            <w:color w:val="auto"/>
            <w:u w:val="none"/>
          </w:rPr>
          <w:t>https://tradingeconomics.com/antigua-and-barbuda/gdp-per-capita</w:t>
        </w:r>
      </w:hyperlink>
      <w:r w:rsidRPr="00B60632">
        <w:t>;</w:t>
      </w:r>
    </w:p>
    <w:p w:rsidR="000F3804" w:rsidRPr="00B60632" w:rsidRDefault="000F3804" w:rsidP="00D935E2"/>
    <w:p w:rsidR="000F3804" w:rsidRPr="00B60632" w:rsidRDefault="000F3804" w:rsidP="00D935E2">
      <w:r w:rsidRPr="00B60632">
        <w:t>1</w:t>
      </w:r>
      <w:r w:rsidR="00B60632" w:rsidRPr="00B60632">
        <w:t>4</w:t>
      </w:r>
      <w:r w:rsidRPr="00B60632">
        <w:t>. Review, https://tradingeconomics.com/st-kitts-and-nevis/gdp-per-capita</w:t>
      </w:r>
    </w:p>
    <w:p w:rsidR="00D935E2" w:rsidRPr="00B60632" w:rsidRDefault="00D935E2" w:rsidP="00D935E2"/>
    <w:p w:rsidR="00D935E2" w:rsidRPr="00B60632" w:rsidRDefault="000F3804" w:rsidP="00D935E2">
      <w:r w:rsidRPr="00B60632">
        <w:t>1</w:t>
      </w:r>
      <w:r w:rsidR="00B60632" w:rsidRPr="00B60632">
        <w:t>5</w:t>
      </w:r>
      <w:r w:rsidR="00D935E2" w:rsidRPr="00B60632">
        <w:t>. Review, http:// www. Domlec.dm/Index.php/our-history.</w:t>
      </w:r>
    </w:p>
    <w:p w:rsidR="00300C7D" w:rsidRPr="00B60632" w:rsidRDefault="00300C7D" w:rsidP="005D4A78"/>
    <w:p w:rsidR="00300C7D" w:rsidRPr="00B60632" w:rsidRDefault="000F3804" w:rsidP="005D4A78">
      <w:r w:rsidRPr="00B60632">
        <w:t>1</w:t>
      </w:r>
      <w:r w:rsidR="00B60632" w:rsidRPr="00B60632">
        <w:t>6</w:t>
      </w:r>
      <w:r w:rsidR="00DC7B5A" w:rsidRPr="00B60632">
        <w:t xml:space="preserve">. </w:t>
      </w:r>
      <w:r w:rsidR="00300C7D" w:rsidRPr="00B60632">
        <w:t xml:space="preserve">Transmission, Distribution and Suppy Licence for </w:t>
      </w:r>
      <w:r w:rsidR="004C1CBF" w:rsidRPr="00B60632">
        <w:t>DOMLEC Document</w:t>
      </w:r>
      <w:r w:rsidR="00300C7D" w:rsidRPr="00B60632">
        <w:t xml:space="preserve"> Ref. 2012/003/3</w:t>
      </w:r>
    </w:p>
    <w:p w:rsidR="00300C7D" w:rsidRPr="00B60632" w:rsidRDefault="00300C7D" w:rsidP="00D935E2"/>
    <w:sectPr w:rsidR="00300C7D" w:rsidRPr="00B60632" w:rsidSect="0063340F">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379" w:rsidRDefault="00A26379" w:rsidP="006237C5">
      <w:r>
        <w:separator/>
      </w:r>
    </w:p>
  </w:endnote>
  <w:endnote w:type="continuationSeparator" w:id="1">
    <w:p w:rsidR="00A26379" w:rsidRDefault="00A26379" w:rsidP="00623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421"/>
      <w:docPartObj>
        <w:docPartGallery w:val="Page Numbers (Bottom of Page)"/>
        <w:docPartUnique/>
      </w:docPartObj>
    </w:sdtPr>
    <w:sdtContent>
      <w:p w:rsidR="00F86120" w:rsidRDefault="00FB7DD9">
        <w:pPr>
          <w:pStyle w:val="Footer"/>
          <w:jc w:val="right"/>
        </w:pPr>
        <w:fldSimple w:instr=" PAGE   \* MERGEFORMAT ">
          <w:r w:rsidR="003A328F">
            <w:rPr>
              <w:noProof/>
            </w:rPr>
            <w:t>34</w:t>
          </w:r>
        </w:fldSimple>
      </w:p>
    </w:sdtContent>
  </w:sdt>
  <w:p w:rsidR="00F86120" w:rsidRDefault="00F861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422"/>
      <w:docPartObj>
        <w:docPartGallery w:val="Page Numbers (Bottom of Page)"/>
        <w:docPartUnique/>
      </w:docPartObj>
    </w:sdtPr>
    <w:sdtContent>
      <w:p w:rsidR="00F86120" w:rsidRDefault="00FB7DD9">
        <w:pPr>
          <w:pStyle w:val="Footer"/>
          <w:jc w:val="right"/>
        </w:pPr>
        <w:fldSimple w:instr=" PAGE   \* MERGEFORMAT ">
          <w:r w:rsidR="003A328F">
            <w:rPr>
              <w:noProof/>
            </w:rPr>
            <w:t>i</w:t>
          </w:r>
        </w:fldSimple>
      </w:p>
    </w:sdtContent>
  </w:sdt>
  <w:p w:rsidR="00F86120" w:rsidRDefault="00F86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379" w:rsidRDefault="00A26379" w:rsidP="006237C5">
      <w:r>
        <w:separator/>
      </w:r>
    </w:p>
  </w:footnote>
  <w:footnote w:type="continuationSeparator" w:id="1">
    <w:p w:rsidR="00A26379" w:rsidRDefault="00A26379" w:rsidP="006237C5">
      <w:r>
        <w:continuationSeparator/>
      </w:r>
    </w:p>
  </w:footnote>
  <w:footnote w:id="2">
    <w:p w:rsidR="00F86120" w:rsidRDefault="00F86120">
      <w:pPr>
        <w:pStyle w:val="FootnoteText"/>
      </w:pPr>
      <w:r>
        <w:rPr>
          <w:rStyle w:val="FootnoteReference"/>
        </w:rPr>
        <w:footnoteRef/>
      </w:r>
      <w:r>
        <w:t xml:space="preserve"> The information was obtained from  </w:t>
      </w:r>
      <w:hyperlink r:id="rId1" w:history="1">
        <w:r w:rsidRPr="00CB3408">
          <w:rPr>
            <w:rStyle w:val="Hyperlink"/>
          </w:rPr>
          <w:t>www.domlec.dm/index.php/our</w:t>
        </w:r>
      </w:hyperlink>
      <w:r>
        <w:t>-history</w:t>
      </w:r>
    </w:p>
    <w:p w:rsidR="00F86120" w:rsidRDefault="00F86120">
      <w:pPr>
        <w:pStyle w:val="FootnoteText"/>
      </w:pPr>
    </w:p>
  </w:footnote>
  <w:footnote w:id="3">
    <w:p w:rsidR="00F86120" w:rsidRDefault="00F86120">
      <w:pPr>
        <w:pStyle w:val="FootnoteText"/>
      </w:pPr>
      <w:r>
        <w:rPr>
          <w:rStyle w:val="FootnoteReference"/>
        </w:rPr>
        <w:footnoteRef/>
      </w:r>
      <w:r>
        <w:t xml:space="preserve"> Generation Licence for DOMLEC – Document Ref: 2012/002/D, Transmission, Distribution and Supply Licence.</w:t>
      </w:r>
    </w:p>
  </w:footnote>
  <w:footnote w:id="4">
    <w:p w:rsidR="00F86120" w:rsidRDefault="00F86120">
      <w:pPr>
        <w:pStyle w:val="FootnoteText"/>
      </w:pPr>
      <w:r>
        <w:rPr>
          <w:rStyle w:val="FootnoteReference"/>
        </w:rPr>
        <w:footnoteRef/>
      </w:r>
      <w:r>
        <w:t xml:space="preserve"> Table 1 to 16 the data to compute the financial and economic indicators were identified from DOMLEC’s Annual Report 2012-2016, GRENLEC‘s Annual Report 2012 -2015, LUCELEC’s Annual Report 2012-2015, CARILEC’s Benchmark Studies of Caribbean  Utilities (9</w:t>
      </w:r>
      <w:r w:rsidRPr="00E26622">
        <w:rPr>
          <w:vertAlign w:val="superscript"/>
        </w:rPr>
        <w:t>th</w:t>
      </w:r>
      <w:r>
        <w:t xml:space="preserve"> Update- Year 2012 and 10</w:t>
      </w:r>
      <w:r w:rsidRPr="00E26622">
        <w:rPr>
          <w:vertAlign w:val="superscript"/>
        </w:rPr>
        <w:t>th</w:t>
      </w:r>
      <w:r>
        <w:t xml:space="preserve"> Update Year 2013), EEI 2014 Financial Report of US Investors Owned Electric Utility Industry. </w:t>
      </w:r>
    </w:p>
  </w:footnote>
  <w:footnote w:id="5">
    <w:p w:rsidR="00F86120" w:rsidRDefault="00F86120">
      <w:pPr>
        <w:pStyle w:val="FootnoteText"/>
      </w:pPr>
      <w:r>
        <w:rPr>
          <w:rStyle w:val="FootnoteReference"/>
        </w:rPr>
        <w:footnoteRef/>
      </w:r>
      <w:r>
        <w:t xml:space="preserve"> CARILEC’s Benchmark Studies of Caribbean Utilities 10</w:t>
      </w:r>
      <w:r w:rsidRPr="001D5684">
        <w:rPr>
          <w:vertAlign w:val="superscript"/>
        </w:rPr>
        <w:t>th</w:t>
      </w:r>
      <w:r>
        <w:t xml:space="preserve"> Update – Year 2013</w:t>
      </w:r>
    </w:p>
  </w:footnote>
  <w:footnote w:id="6">
    <w:p w:rsidR="00F86120" w:rsidRDefault="00F86120">
      <w:pPr>
        <w:pStyle w:val="FootnoteText"/>
      </w:pPr>
      <w:r>
        <w:rPr>
          <w:rStyle w:val="FootnoteReference"/>
        </w:rPr>
        <w:footnoteRef/>
      </w:r>
      <w:r>
        <w:t xml:space="preserve"> CARILEC’s Benchmark Study of Caribbean Utility 10</w:t>
      </w:r>
      <w:r w:rsidRPr="001D5684">
        <w:rPr>
          <w:vertAlign w:val="superscript"/>
        </w:rPr>
        <w:t>th</w:t>
      </w:r>
      <w:r>
        <w:t xml:space="preserve"> Update – year 2013</w:t>
      </w:r>
    </w:p>
  </w:footnote>
  <w:footnote w:id="7">
    <w:p w:rsidR="00F86120" w:rsidRDefault="00F86120">
      <w:pPr>
        <w:pStyle w:val="FootnoteText"/>
      </w:pPr>
      <w:r>
        <w:rPr>
          <w:rStyle w:val="FootnoteReference"/>
        </w:rPr>
        <w:footnoteRef/>
      </w:r>
      <w:r>
        <w:t xml:space="preserve"> RIC  - T &amp; TEC’s Annual Performance Indicator Report 2014</w:t>
      </w:r>
    </w:p>
  </w:footnote>
  <w:footnote w:id="8">
    <w:p w:rsidR="00F86120" w:rsidRDefault="00F86120">
      <w:pPr>
        <w:pStyle w:val="FootnoteText"/>
      </w:pPr>
      <w:r>
        <w:rPr>
          <w:rStyle w:val="FootnoteReference"/>
        </w:rPr>
        <w:footnoteRef/>
      </w:r>
      <w:r>
        <w:t xml:space="preserve"> Performance Benchmarking Report for Pacific Power Utilities 2011</w:t>
      </w:r>
    </w:p>
  </w:footnote>
  <w:footnote w:id="9">
    <w:p w:rsidR="00F86120" w:rsidRDefault="00F86120">
      <w:pPr>
        <w:pStyle w:val="FootnoteText"/>
      </w:pPr>
      <w:r>
        <w:rPr>
          <w:rStyle w:val="FootnoteReference"/>
        </w:rPr>
        <w:footnoteRef/>
      </w:r>
      <w:r>
        <w:t xml:space="preserve"> Monitoring performance of Electric Utilities  Indicators and Benchmarking in Sub-Sahara Africa – The World Bank 2009</w:t>
      </w:r>
    </w:p>
  </w:footnote>
  <w:footnote w:id="10">
    <w:p w:rsidR="00F86120" w:rsidRDefault="00F86120">
      <w:pPr>
        <w:pStyle w:val="FootnoteText"/>
      </w:pPr>
      <w:r w:rsidRPr="00B60632">
        <w:rPr>
          <w:rStyle w:val="FootnoteReference"/>
          <w:b/>
        </w:rPr>
        <w:footnoteRef/>
      </w:r>
      <w:r w:rsidRPr="00B60632">
        <w:rPr>
          <w:b/>
        </w:rPr>
        <w:t xml:space="preserve"> </w:t>
      </w:r>
      <w:r w:rsidRPr="00B60632">
        <w:t>List of Countries by Electricity Consumption. https.//en.wikipedia.org/wiki/</w:t>
      </w:r>
      <w:r w:rsidR="00F4012A" w:rsidRPr="00B60632">
        <w:t>list of</w:t>
      </w:r>
      <w:r w:rsidRPr="00B60632">
        <w:t xml:space="preserve"> countries-by-electricity consumption</w:t>
      </w:r>
      <w:r w:rsidR="00F4012A">
        <w:t>;</w:t>
      </w:r>
    </w:p>
  </w:footnote>
  <w:footnote w:id="11">
    <w:p w:rsidR="00F86120" w:rsidRDefault="00F86120">
      <w:pPr>
        <w:pStyle w:val="FootnoteText"/>
      </w:pPr>
      <w:r>
        <w:rPr>
          <w:rStyle w:val="FootnoteReference"/>
        </w:rPr>
        <w:footnoteRef/>
      </w:r>
      <w:r>
        <w:t xml:space="preserve"> UN Data Electr</w:t>
      </w:r>
      <w:r w:rsidR="00F4012A">
        <w:t>ic power consumption per capita;</w:t>
      </w:r>
    </w:p>
    <w:p w:rsidR="00F86120" w:rsidRDefault="00F86120">
      <w:pPr>
        <w:pStyle w:val="FootnoteText"/>
      </w:pPr>
      <w:r w:rsidRPr="00781A1D">
        <w:t>http://data.un.org/Data.aspx?d=WDI&amp;f=Indicator_Code%3AEG.USE.ELEC.KH.PC</w:t>
      </w:r>
    </w:p>
  </w:footnote>
  <w:footnote w:id="12">
    <w:p w:rsidR="00F86120" w:rsidRPr="00FE48E6" w:rsidRDefault="00F86120" w:rsidP="00FE48E6">
      <w:pPr>
        <w:rPr>
          <w:sz w:val="20"/>
          <w:szCs w:val="20"/>
        </w:rPr>
      </w:pPr>
      <w:r>
        <w:rPr>
          <w:rStyle w:val="FootnoteReference"/>
        </w:rPr>
        <w:footnoteRef/>
      </w:r>
      <w:r>
        <w:t xml:space="preserve"> </w:t>
      </w:r>
      <w:r w:rsidRPr="00FE48E6">
        <w:rPr>
          <w:sz w:val="20"/>
          <w:szCs w:val="20"/>
        </w:rPr>
        <w:t>C</w:t>
      </w:r>
      <w:r>
        <w:rPr>
          <w:sz w:val="20"/>
          <w:szCs w:val="20"/>
        </w:rPr>
        <w:t>ARICOM</w:t>
      </w:r>
      <w:r w:rsidRPr="00FE48E6">
        <w:rPr>
          <w:sz w:val="20"/>
          <w:szCs w:val="20"/>
        </w:rPr>
        <w:t xml:space="preserve"> Economic Indicator.www caricomstats.org</w:t>
      </w:r>
      <w:r>
        <w:rPr>
          <w:sz w:val="20"/>
          <w:szCs w:val="20"/>
        </w:rPr>
        <w:t xml:space="preserve">; </w:t>
      </w:r>
      <w:hyperlink r:id="rId2" w:history="1">
        <w:r w:rsidRPr="00FE48E6">
          <w:rPr>
            <w:rStyle w:val="Hyperlink"/>
            <w:color w:val="auto"/>
            <w:sz w:val="20"/>
            <w:szCs w:val="20"/>
            <w:u w:val="none"/>
          </w:rPr>
          <w:t>https://tradingeconomics.com/antigua-and-barbuda/gdp-per-capita</w:t>
        </w:r>
      </w:hyperlink>
      <w:r w:rsidRPr="00FE48E6">
        <w:rPr>
          <w:sz w:val="20"/>
          <w:szCs w:val="20"/>
        </w:rPr>
        <w:t>; https://tradingeconomics.com/st-kitts-and-nevis/gdp-per-capita</w:t>
      </w:r>
      <w:r>
        <w:rPr>
          <w:sz w:val="20"/>
          <w:szCs w:val="20"/>
        </w:rPr>
        <w:t>.</w:t>
      </w:r>
    </w:p>
    <w:p w:rsidR="00F86120" w:rsidRPr="00FE48E6" w:rsidRDefault="00F86120" w:rsidP="00FE48E6">
      <w:pPr>
        <w:rPr>
          <w:sz w:val="20"/>
          <w:szCs w:val="20"/>
        </w:rPr>
      </w:pPr>
    </w:p>
    <w:p w:rsidR="00F86120" w:rsidRPr="00B60632" w:rsidRDefault="00F86120" w:rsidP="00FE48E6"/>
    <w:p w:rsidR="00F86120" w:rsidRDefault="00F86120">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20" w:rsidRDefault="00FB7D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1350" o:spid="_x0000_s2050" type="#_x0000_t136" style="position:absolute;left:0;text-align:left;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20" w:rsidRDefault="00FB7DD9" w:rsidP="00D901C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1351" o:spid="_x0000_s2051"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86120">
      <w:t>Benchmarking Report on DOMLEC’s Performance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20" w:rsidRDefault="00FB7D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1349" o:spid="_x0000_s2049" type="#_x0000_t136" style="position:absolute;left:0;text-align:left;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A31"/>
    <w:multiLevelType w:val="hybridMultilevel"/>
    <w:tmpl w:val="D078003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4B110E"/>
    <w:multiLevelType w:val="multilevel"/>
    <w:tmpl w:val="038C8E70"/>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6E56746"/>
    <w:multiLevelType w:val="hybridMultilevel"/>
    <w:tmpl w:val="7C4E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C11A5"/>
    <w:multiLevelType w:val="hybridMultilevel"/>
    <w:tmpl w:val="FAD6AA30"/>
    <w:lvl w:ilvl="0" w:tplc="3B2A4C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A7D6F0D"/>
    <w:multiLevelType w:val="hybridMultilevel"/>
    <w:tmpl w:val="C9788532"/>
    <w:lvl w:ilvl="0" w:tplc="24F8A92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54307B6F"/>
    <w:multiLevelType w:val="hybridMultilevel"/>
    <w:tmpl w:val="8CDE8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2E6FB3"/>
    <w:multiLevelType w:val="hybridMultilevel"/>
    <w:tmpl w:val="F288FA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D81489"/>
    <w:multiLevelType w:val="hybridMultilevel"/>
    <w:tmpl w:val="9AD69B26"/>
    <w:lvl w:ilvl="0" w:tplc="4B6857EE">
      <w:start w:val="1"/>
      <w:numFmt w:val="low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68165208"/>
    <w:multiLevelType w:val="hybridMultilevel"/>
    <w:tmpl w:val="7CC4D082"/>
    <w:lvl w:ilvl="0" w:tplc="B5ECC054">
      <w:start w:val="1"/>
      <w:numFmt w:val="lowerLetter"/>
      <w:lvlText w:val="%1."/>
      <w:lvlJc w:val="left"/>
      <w:pPr>
        <w:ind w:left="360" w:hanging="360"/>
      </w:pPr>
      <w:rPr>
        <w:rFonts w:hint="default"/>
        <w:b/>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9">
    <w:nsid w:val="7486053D"/>
    <w:multiLevelType w:val="multilevel"/>
    <w:tmpl w:val="3A8EB6DA"/>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nsid w:val="77415967"/>
    <w:multiLevelType w:val="hybridMultilevel"/>
    <w:tmpl w:val="180CE460"/>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0"/>
  </w:num>
  <w:num w:numId="5">
    <w:abstractNumId w:val="8"/>
  </w:num>
  <w:num w:numId="6">
    <w:abstractNumId w:val="4"/>
  </w:num>
  <w:num w:numId="7">
    <w:abstractNumId w:val="3"/>
  </w:num>
  <w:num w:numId="8">
    <w:abstractNumId w:val="9"/>
  </w:num>
  <w:num w:numId="9">
    <w:abstractNumId w:val="5"/>
  </w:num>
  <w:num w:numId="10">
    <w:abstractNumId w:val="1"/>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86018"/>
    <o:shapelayout v:ext="edit">
      <o:idmap v:ext="edit" data="2"/>
    </o:shapelayout>
  </w:hdrShapeDefaults>
  <w:footnotePr>
    <w:footnote w:id="0"/>
    <w:footnote w:id="1"/>
  </w:footnotePr>
  <w:endnotePr>
    <w:endnote w:id="0"/>
    <w:endnote w:id="1"/>
  </w:endnotePr>
  <w:compat/>
  <w:rsids>
    <w:rsidRoot w:val="006237C5"/>
    <w:rsid w:val="000007EC"/>
    <w:rsid w:val="00000F06"/>
    <w:rsid w:val="00002C7C"/>
    <w:rsid w:val="00002E3B"/>
    <w:rsid w:val="00003271"/>
    <w:rsid w:val="000034C0"/>
    <w:rsid w:val="00003BBA"/>
    <w:rsid w:val="00007731"/>
    <w:rsid w:val="00011CEB"/>
    <w:rsid w:val="00013FF7"/>
    <w:rsid w:val="00016568"/>
    <w:rsid w:val="000244BE"/>
    <w:rsid w:val="00024DC7"/>
    <w:rsid w:val="000255BC"/>
    <w:rsid w:val="00025D3A"/>
    <w:rsid w:val="00027E03"/>
    <w:rsid w:val="000318DD"/>
    <w:rsid w:val="0003645E"/>
    <w:rsid w:val="00036FAF"/>
    <w:rsid w:val="00040CE9"/>
    <w:rsid w:val="000412F8"/>
    <w:rsid w:val="000441EB"/>
    <w:rsid w:val="00045772"/>
    <w:rsid w:val="00046687"/>
    <w:rsid w:val="00051C3D"/>
    <w:rsid w:val="000538BD"/>
    <w:rsid w:val="00053A38"/>
    <w:rsid w:val="00054922"/>
    <w:rsid w:val="00055B9E"/>
    <w:rsid w:val="00055C66"/>
    <w:rsid w:val="00057B0E"/>
    <w:rsid w:val="00062C28"/>
    <w:rsid w:val="0006382C"/>
    <w:rsid w:val="00065841"/>
    <w:rsid w:val="00067337"/>
    <w:rsid w:val="00070E3D"/>
    <w:rsid w:val="00073E40"/>
    <w:rsid w:val="000746EE"/>
    <w:rsid w:val="0007548B"/>
    <w:rsid w:val="00075FCB"/>
    <w:rsid w:val="00077113"/>
    <w:rsid w:val="00077464"/>
    <w:rsid w:val="00080A18"/>
    <w:rsid w:val="0008217A"/>
    <w:rsid w:val="00082FC0"/>
    <w:rsid w:val="00083369"/>
    <w:rsid w:val="0008474F"/>
    <w:rsid w:val="00084760"/>
    <w:rsid w:val="00085521"/>
    <w:rsid w:val="00085A89"/>
    <w:rsid w:val="00086347"/>
    <w:rsid w:val="0008668C"/>
    <w:rsid w:val="000867CE"/>
    <w:rsid w:val="0008685B"/>
    <w:rsid w:val="00087FF1"/>
    <w:rsid w:val="000902DD"/>
    <w:rsid w:val="00092499"/>
    <w:rsid w:val="0009287C"/>
    <w:rsid w:val="0009368A"/>
    <w:rsid w:val="00093A13"/>
    <w:rsid w:val="00093A28"/>
    <w:rsid w:val="00093F70"/>
    <w:rsid w:val="00095466"/>
    <w:rsid w:val="00096839"/>
    <w:rsid w:val="00096996"/>
    <w:rsid w:val="00096FCF"/>
    <w:rsid w:val="000A1D24"/>
    <w:rsid w:val="000A1EC5"/>
    <w:rsid w:val="000A1F15"/>
    <w:rsid w:val="000A2A3B"/>
    <w:rsid w:val="000A3116"/>
    <w:rsid w:val="000A62E1"/>
    <w:rsid w:val="000B1DAC"/>
    <w:rsid w:val="000B1FAB"/>
    <w:rsid w:val="000B28AC"/>
    <w:rsid w:val="000B3B81"/>
    <w:rsid w:val="000B4E86"/>
    <w:rsid w:val="000B5B7E"/>
    <w:rsid w:val="000B6663"/>
    <w:rsid w:val="000B78AC"/>
    <w:rsid w:val="000B7A7F"/>
    <w:rsid w:val="000C0117"/>
    <w:rsid w:val="000C0B9E"/>
    <w:rsid w:val="000C1C25"/>
    <w:rsid w:val="000C1F1F"/>
    <w:rsid w:val="000C47D5"/>
    <w:rsid w:val="000C5776"/>
    <w:rsid w:val="000C6458"/>
    <w:rsid w:val="000D0068"/>
    <w:rsid w:val="000D073B"/>
    <w:rsid w:val="000D0A6B"/>
    <w:rsid w:val="000D3B40"/>
    <w:rsid w:val="000D4EF7"/>
    <w:rsid w:val="000D61D2"/>
    <w:rsid w:val="000D760F"/>
    <w:rsid w:val="000E0440"/>
    <w:rsid w:val="000E1927"/>
    <w:rsid w:val="000E290E"/>
    <w:rsid w:val="000E2974"/>
    <w:rsid w:val="000E2A8E"/>
    <w:rsid w:val="000E3FBD"/>
    <w:rsid w:val="000E5871"/>
    <w:rsid w:val="000E5C7C"/>
    <w:rsid w:val="000E78ED"/>
    <w:rsid w:val="000F042F"/>
    <w:rsid w:val="000F1BE2"/>
    <w:rsid w:val="000F1EFA"/>
    <w:rsid w:val="000F2518"/>
    <w:rsid w:val="000F3277"/>
    <w:rsid w:val="000F3804"/>
    <w:rsid w:val="000F6875"/>
    <w:rsid w:val="000F6FAD"/>
    <w:rsid w:val="0010014C"/>
    <w:rsid w:val="001008C7"/>
    <w:rsid w:val="00100CC9"/>
    <w:rsid w:val="001019C8"/>
    <w:rsid w:val="00102A67"/>
    <w:rsid w:val="0010350D"/>
    <w:rsid w:val="00106E59"/>
    <w:rsid w:val="001101E8"/>
    <w:rsid w:val="001103ED"/>
    <w:rsid w:val="00110C86"/>
    <w:rsid w:val="001114BE"/>
    <w:rsid w:val="001119DD"/>
    <w:rsid w:val="0011224A"/>
    <w:rsid w:val="00112BD8"/>
    <w:rsid w:val="0011308F"/>
    <w:rsid w:val="00113A1F"/>
    <w:rsid w:val="00115080"/>
    <w:rsid w:val="00115DAF"/>
    <w:rsid w:val="0011634F"/>
    <w:rsid w:val="001207B0"/>
    <w:rsid w:val="001227C2"/>
    <w:rsid w:val="001240B7"/>
    <w:rsid w:val="00124E97"/>
    <w:rsid w:val="00126DBC"/>
    <w:rsid w:val="00126DFC"/>
    <w:rsid w:val="0013090E"/>
    <w:rsid w:val="00132764"/>
    <w:rsid w:val="0013318B"/>
    <w:rsid w:val="00134BFC"/>
    <w:rsid w:val="00136783"/>
    <w:rsid w:val="00136A3C"/>
    <w:rsid w:val="001379D4"/>
    <w:rsid w:val="001424E3"/>
    <w:rsid w:val="00142C8C"/>
    <w:rsid w:val="00143032"/>
    <w:rsid w:val="00146D0C"/>
    <w:rsid w:val="00147A4A"/>
    <w:rsid w:val="00147D5C"/>
    <w:rsid w:val="001522F2"/>
    <w:rsid w:val="0015231B"/>
    <w:rsid w:val="00153AE1"/>
    <w:rsid w:val="001540E7"/>
    <w:rsid w:val="00161D35"/>
    <w:rsid w:val="00162BD2"/>
    <w:rsid w:val="00165ABA"/>
    <w:rsid w:val="00167FA9"/>
    <w:rsid w:val="0017274D"/>
    <w:rsid w:val="00174F6F"/>
    <w:rsid w:val="001772B1"/>
    <w:rsid w:val="00177447"/>
    <w:rsid w:val="00177BF1"/>
    <w:rsid w:val="00190B8E"/>
    <w:rsid w:val="00190F42"/>
    <w:rsid w:val="001928E8"/>
    <w:rsid w:val="0019556D"/>
    <w:rsid w:val="001A22B5"/>
    <w:rsid w:val="001A33A8"/>
    <w:rsid w:val="001A36AB"/>
    <w:rsid w:val="001A5E8B"/>
    <w:rsid w:val="001A7679"/>
    <w:rsid w:val="001B0EB1"/>
    <w:rsid w:val="001B25F3"/>
    <w:rsid w:val="001B271A"/>
    <w:rsid w:val="001B34F8"/>
    <w:rsid w:val="001B4E0F"/>
    <w:rsid w:val="001B5179"/>
    <w:rsid w:val="001B6702"/>
    <w:rsid w:val="001B7892"/>
    <w:rsid w:val="001B7895"/>
    <w:rsid w:val="001C3E8B"/>
    <w:rsid w:val="001C54F1"/>
    <w:rsid w:val="001D0773"/>
    <w:rsid w:val="001D0AD1"/>
    <w:rsid w:val="001D45C6"/>
    <w:rsid w:val="001D5684"/>
    <w:rsid w:val="001D5E59"/>
    <w:rsid w:val="001E0E95"/>
    <w:rsid w:val="001E0F81"/>
    <w:rsid w:val="001E344C"/>
    <w:rsid w:val="001E63C4"/>
    <w:rsid w:val="001E67FB"/>
    <w:rsid w:val="001E7209"/>
    <w:rsid w:val="001E7524"/>
    <w:rsid w:val="001F2DD3"/>
    <w:rsid w:val="001F38FA"/>
    <w:rsid w:val="001F4DD9"/>
    <w:rsid w:val="001F542C"/>
    <w:rsid w:val="001F5893"/>
    <w:rsid w:val="001F674D"/>
    <w:rsid w:val="001F7901"/>
    <w:rsid w:val="001F7C59"/>
    <w:rsid w:val="001F7FD1"/>
    <w:rsid w:val="002010AE"/>
    <w:rsid w:val="00201DC1"/>
    <w:rsid w:val="002025A6"/>
    <w:rsid w:val="00204D66"/>
    <w:rsid w:val="00204F40"/>
    <w:rsid w:val="002050DD"/>
    <w:rsid w:val="002073CF"/>
    <w:rsid w:val="002118A6"/>
    <w:rsid w:val="002119FC"/>
    <w:rsid w:val="00212D50"/>
    <w:rsid w:val="00213EE6"/>
    <w:rsid w:val="00215C1B"/>
    <w:rsid w:val="00216C94"/>
    <w:rsid w:val="00217899"/>
    <w:rsid w:val="00220465"/>
    <w:rsid w:val="002209F5"/>
    <w:rsid w:val="0022182A"/>
    <w:rsid w:val="00222709"/>
    <w:rsid w:val="0022453A"/>
    <w:rsid w:val="002251BF"/>
    <w:rsid w:val="00226194"/>
    <w:rsid w:val="0023028A"/>
    <w:rsid w:val="0023456C"/>
    <w:rsid w:val="002347BE"/>
    <w:rsid w:val="00235A20"/>
    <w:rsid w:val="002374BD"/>
    <w:rsid w:val="0023767E"/>
    <w:rsid w:val="00237B34"/>
    <w:rsid w:val="002417A1"/>
    <w:rsid w:val="00242078"/>
    <w:rsid w:val="002422BC"/>
    <w:rsid w:val="00242FD7"/>
    <w:rsid w:val="00243766"/>
    <w:rsid w:val="00244040"/>
    <w:rsid w:val="0024508A"/>
    <w:rsid w:val="00247CD5"/>
    <w:rsid w:val="00251919"/>
    <w:rsid w:val="00252620"/>
    <w:rsid w:val="002545FB"/>
    <w:rsid w:val="00261909"/>
    <w:rsid w:val="0026222B"/>
    <w:rsid w:val="00262342"/>
    <w:rsid w:val="00262BBA"/>
    <w:rsid w:val="002636D5"/>
    <w:rsid w:val="0026520A"/>
    <w:rsid w:val="00266452"/>
    <w:rsid w:val="00271EB4"/>
    <w:rsid w:val="00272283"/>
    <w:rsid w:val="00272658"/>
    <w:rsid w:val="00272E11"/>
    <w:rsid w:val="0027601F"/>
    <w:rsid w:val="00276577"/>
    <w:rsid w:val="002767CB"/>
    <w:rsid w:val="002825C8"/>
    <w:rsid w:val="0028745E"/>
    <w:rsid w:val="00287DE6"/>
    <w:rsid w:val="0029080E"/>
    <w:rsid w:val="00290DD7"/>
    <w:rsid w:val="0029344C"/>
    <w:rsid w:val="00294D19"/>
    <w:rsid w:val="0029692C"/>
    <w:rsid w:val="002979BA"/>
    <w:rsid w:val="00297D16"/>
    <w:rsid w:val="00297FC0"/>
    <w:rsid w:val="002A02F0"/>
    <w:rsid w:val="002A1050"/>
    <w:rsid w:val="002A3761"/>
    <w:rsid w:val="002A3E51"/>
    <w:rsid w:val="002A6565"/>
    <w:rsid w:val="002A6F40"/>
    <w:rsid w:val="002A7520"/>
    <w:rsid w:val="002B00DD"/>
    <w:rsid w:val="002B0332"/>
    <w:rsid w:val="002B259C"/>
    <w:rsid w:val="002B4977"/>
    <w:rsid w:val="002B79DD"/>
    <w:rsid w:val="002C0303"/>
    <w:rsid w:val="002C0395"/>
    <w:rsid w:val="002C0672"/>
    <w:rsid w:val="002C1A26"/>
    <w:rsid w:val="002C490E"/>
    <w:rsid w:val="002C7F3B"/>
    <w:rsid w:val="002D0A54"/>
    <w:rsid w:val="002D6A14"/>
    <w:rsid w:val="002D6D81"/>
    <w:rsid w:val="002D7C6B"/>
    <w:rsid w:val="002E2B59"/>
    <w:rsid w:val="002E3694"/>
    <w:rsid w:val="002E37CC"/>
    <w:rsid w:val="002E3D58"/>
    <w:rsid w:val="002E44FD"/>
    <w:rsid w:val="002E5151"/>
    <w:rsid w:val="002E61FA"/>
    <w:rsid w:val="002E68DA"/>
    <w:rsid w:val="002E7005"/>
    <w:rsid w:val="002F17EF"/>
    <w:rsid w:val="002F3833"/>
    <w:rsid w:val="002F5299"/>
    <w:rsid w:val="002F56CC"/>
    <w:rsid w:val="002F5FC7"/>
    <w:rsid w:val="002F656D"/>
    <w:rsid w:val="00300C7D"/>
    <w:rsid w:val="00300E0E"/>
    <w:rsid w:val="00301CE5"/>
    <w:rsid w:val="00301FCC"/>
    <w:rsid w:val="00304335"/>
    <w:rsid w:val="00305148"/>
    <w:rsid w:val="0030606D"/>
    <w:rsid w:val="003065A2"/>
    <w:rsid w:val="0030690D"/>
    <w:rsid w:val="00306BA6"/>
    <w:rsid w:val="00307E7C"/>
    <w:rsid w:val="00310704"/>
    <w:rsid w:val="00313CF9"/>
    <w:rsid w:val="0031523F"/>
    <w:rsid w:val="003155B7"/>
    <w:rsid w:val="00316D0E"/>
    <w:rsid w:val="00320EF9"/>
    <w:rsid w:val="00322F3B"/>
    <w:rsid w:val="00323917"/>
    <w:rsid w:val="00325412"/>
    <w:rsid w:val="003313B0"/>
    <w:rsid w:val="003313FF"/>
    <w:rsid w:val="00332ACB"/>
    <w:rsid w:val="00333EFE"/>
    <w:rsid w:val="00334D92"/>
    <w:rsid w:val="003351C4"/>
    <w:rsid w:val="00337048"/>
    <w:rsid w:val="00340780"/>
    <w:rsid w:val="00340888"/>
    <w:rsid w:val="00340889"/>
    <w:rsid w:val="00340C2A"/>
    <w:rsid w:val="0034487A"/>
    <w:rsid w:val="00346A80"/>
    <w:rsid w:val="00346ABE"/>
    <w:rsid w:val="00346B61"/>
    <w:rsid w:val="00347147"/>
    <w:rsid w:val="0034753E"/>
    <w:rsid w:val="00350B8A"/>
    <w:rsid w:val="00351A86"/>
    <w:rsid w:val="0035422F"/>
    <w:rsid w:val="00355BF3"/>
    <w:rsid w:val="00355E07"/>
    <w:rsid w:val="0035697D"/>
    <w:rsid w:val="003574BB"/>
    <w:rsid w:val="00357C0D"/>
    <w:rsid w:val="00362DD0"/>
    <w:rsid w:val="00363562"/>
    <w:rsid w:val="00364409"/>
    <w:rsid w:val="00364A35"/>
    <w:rsid w:val="00364D66"/>
    <w:rsid w:val="00366675"/>
    <w:rsid w:val="0037154A"/>
    <w:rsid w:val="0037317C"/>
    <w:rsid w:val="0037390A"/>
    <w:rsid w:val="00374619"/>
    <w:rsid w:val="00375560"/>
    <w:rsid w:val="0037557A"/>
    <w:rsid w:val="00376A60"/>
    <w:rsid w:val="00380318"/>
    <w:rsid w:val="00381CE7"/>
    <w:rsid w:val="00382994"/>
    <w:rsid w:val="00382F21"/>
    <w:rsid w:val="00383219"/>
    <w:rsid w:val="00384066"/>
    <w:rsid w:val="003869C1"/>
    <w:rsid w:val="00387857"/>
    <w:rsid w:val="0039340B"/>
    <w:rsid w:val="00393977"/>
    <w:rsid w:val="00393A15"/>
    <w:rsid w:val="00397461"/>
    <w:rsid w:val="003A0730"/>
    <w:rsid w:val="003A0AD1"/>
    <w:rsid w:val="003A11B4"/>
    <w:rsid w:val="003A1ED8"/>
    <w:rsid w:val="003A20A0"/>
    <w:rsid w:val="003A2C51"/>
    <w:rsid w:val="003A328F"/>
    <w:rsid w:val="003A459E"/>
    <w:rsid w:val="003A52D4"/>
    <w:rsid w:val="003A60B3"/>
    <w:rsid w:val="003A63E9"/>
    <w:rsid w:val="003A6567"/>
    <w:rsid w:val="003A6BDB"/>
    <w:rsid w:val="003A7B54"/>
    <w:rsid w:val="003B0FD2"/>
    <w:rsid w:val="003B24B1"/>
    <w:rsid w:val="003B27E9"/>
    <w:rsid w:val="003B3B2A"/>
    <w:rsid w:val="003B4216"/>
    <w:rsid w:val="003C00B5"/>
    <w:rsid w:val="003C2905"/>
    <w:rsid w:val="003C3720"/>
    <w:rsid w:val="003C590A"/>
    <w:rsid w:val="003C781B"/>
    <w:rsid w:val="003D0587"/>
    <w:rsid w:val="003D1381"/>
    <w:rsid w:val="003D29C9"/>
    <w:rsid w:val="003D733F"/>
    <w:rsid w:val="003D79E8"/>
    <w:rsid w:val="003E1416"/>
    <w:rsid w:val="003E1BC8"/>
    <w:rsid w:val="003E4CF2"/>
    <w:rsid w:val="003E537B"/>
    <w:rsid w:val="003E67B9"/>
    <w:rsid w:val="003E717F"/>
    <w:rsid w:val="003F04FF"/>
    <w:rsid w:val="003F210D"/>
    <w:rsid w:val="003F2D8A"/>
    <w:rsid w:val="003F354B"/>
    <w:rsid w:val="003F3BDF"/>
    <w:rsid w:val="003F4911"/>
    <w:rsid w:val="003F546D"/>
    <w:rsid w:val="003F5B05"/>
    <w:rsid w:val="004005CE"/>
    <w:rsid w:val="00400D86"/>
    <w:rsid w:val="00401192"/>
    <w:rsid w:val="00402B04"/>
    <w:rsid w:val="0040717F"/>
    <w:rsid w:val="004071B8"/>
    <w:rsid w:val="004111A8"/>
    <w:rsid w:val="004113EB"/>
    <w:rsid w:val="0041154D"/>
    <w:rsid w:val="0041314F"/>
    <w:rsid w:val="004138AE"/>
    <w:rsid w:val="00413BC5"/>
    <w:rsid w:val="0041435B"/>
    <w:rsid w:val="004154F2"/>
    <w:rsid w:val="004156A4"/>
    <w:rsid w:val="00416ED9"/>
    <w:rsid w:val="004202CE"/>
    <w:rsid w:val="00420B0D"/>
    <w:rsid w:val="00421A61"/>
    <w:rsid w:val="004254F5"/>
    <w:rsid w:val="0042572C"/>
    <w:rsid w:val="00426588"/>
    <w:rsid w:val="004267E6"/>
    <w:rsid w:val="00427271"/>
    <w:rsid w:val="0043152B"/>
    <w:rsid w:val="00432747"/>
    <w:rsid w:val="0043471A"/>
    <w:rsid w:val="004355AA"/>
    <w:rsid w:val="0043634C"/>
    <w:rsid w:val="00440ED1"/>
    <w:rsid w:val="00442CCF"/>
    <w:rsid w:val="00443D35"/>
    <w:rsid w:val="00444728"/>
    <w:rsid w:val="0044553F"/>
    <w:rsid w:val="0044598E"/>
    <w:rsid w:val="00445E21"/>
    <w:rsid w:val="00446203"/>
    <w:rsid w:val="004470ED"/>
    <w:rsid w:val="00451672"/>
    <w:rsid w:val="00452646"/>
    <w:rsid w:val="00452AD2"/>
    <w:rsid w:val="00453B89"/>
    <w:rsid w:val="00454AD0"/>
    <w:rsid w:val="00454F24"/>
    <w:rsid w:val="00454F8B"/>
    <w:rsid w:val="0045699D"/>
    <w:rsid w:val="00456CC4"/>
    <w:rsid w:val="00460343"/>
    <w:rsid w:val="004606C1"/>
    <w:rsid w:val="00460980"/>
    <w:rsid w:val="00461F37"/>
    <w:rsid w:val="004620CE"/>
    <w:rsid w:val="00462551"/>
    <w:rsid w:val="00462969"/>
    <w:rsid w:val="00462C68"/>
    <w:rsid w:val="00463E3E"/>
    <w:rsid w:val="0046510C"/>
    <w:rsid w:val="00465B61"/>
    <w:rsid w:val="00465CAC"/>
    <w:rsid w:val="0046767C"/>
    <w:rsid w:val="00470B55"/>
    <w:rsid w:val="004723F7"/>
    <w:rsid w:val="00473300"/>
    <w:rsid w:val="00473FFC"/>
    <w:rsid w:val="00477658"/>
    <w:rsid w:val="00477F96"/>
    <w:rsid w:val="00480257"/>
    <w:rsid w:val="00483985"/>
    <w:rsid w:val="00485281"/>
    <w:rsid w:val="00486E02"/>
    <w:rsid w:val="00487449"/>
    <w:rsid w:val="00487D59"/>
    <w:rsid w:val="004929DA"/>
    <w:rsid w:val="00493DD8"/>
    <w:rsid w:val="0049426C"/>
    <w:rsid w:val="00494B9A"/>
    <w:rsid w:val="00497349"/>
    <w:rsid w:val="004A0876"/>
    <w:rsid w:val="004A0896"/>
    <w:rsid w:val="004A1586"/>
    <w:rsid w:val="004A24C9"/>
    <w:rsid w:val="004A61D6"/>
    <w:rsid w:val="004A6EBA"/>
    <w:rsid w:val="004A7DE2"/>
    <w:rsid w:val="004B1898"/>
    <w:rsid w:val="004B28BC"/>
    <w:rsid w:val="004B4660"/>
    <w:rsid w:val="004C1CBF"/>
    <w:rsid w:val="004C367D"/>
    <w:rsid w:val="004C47E3"/>
    <w:rsid w:val="004D564A"/>
    <w:rsid w:val="004D56C4"/>
    <w:rsid w:val="004D5704"/>
    <w:rsid w:val="004D606F"/>
    <w:rsid w:val="004E1140"/>
    <w:rsid w:val="004E3414"/>
    <w:rsid w:val="004E3B91"/>
    <w:rsid w:val="004E6680"/>
    <w:rsid w:val="004E7D0D"/>
    <w:rsid w:val="004F02B0"/>
    <w:rsid w:val="004F1735"/>
    <w:rsid w:val="004F4F1C"/>
    <w:rsid w:val="004F5632"/>
    <w:rsid w:val="004F6BD3"/>
    <w:rsid w:val="004F73B5"/>
    <w:rsid w:val="004F7D0C"/>
    <w:rsid w:val="00500BDF"/>
    <w:rsid w:val="00503BA7"/>
    <w:rsid w:val="005056DD"/>
    <w:rsid w:val="00506D6A"/>
    <w:rsid w:val="005101B6"/>
    <w:rsid w:val="0051189B"/>
    <w:rsid w:val="005150AE"/>
    <w:rsid w:val="00517CED"/>
    <w:rsid w:val="005208D9"/>
    <w:rsid w:val="00522288"/>
    <w:rsid w:val="00523477"/>
    <w:rsid w:val="00523E45"/>
    <w:rsid w:val="00524523"/>
    <w:rsid w:val="00525FDF"/>
    <w:rsid w:val="00526CD5"/>
    <w:rsid w:val="00531E1D"/>
    <w:rsid w:val="00532B2E"/>
    <w:rsid w:val="00536EAC"/>
    <w:rsid w:val="005401A3"/>
    <w:rsid w:val="0054029F"/>
    <w:rsid w:val="00540554"/>
    <w:rsid w:val="005413BF"/>
    <w:rsid w:val="005415DC"/>
    <w:rsid w:val="00547225"/>
    <w:rsid w:val="005520DF"/>
    <w:rsid w:val="00553DA5"/>
    <w:rsid w:val="00554151"/>
    <w:rsid w:val="00554332"/>
    <w:rsid w:val="0055550B"/>
    <w:rsid w:val="005563E8"/>
    <w:rsid w:val="00557A5F"/>
    <w:rsid w:val="005653A0"/>
    <w:rsid w:val="00565AA7"/>
    <w:rsid w:val="0057013A"/>
    <w:rsid w:val="00571DF0"/>
    <w:rsid w:val="0057259D"/>
    <w:rsid w:val="00574E5E"/>
    <w:rsid w:val="005771C9"/>
    <w:rsid w:val="00577A46"/>
    <w:rsid w:val="00577A54"/>
    <w:rsid w:val="005827D6"/>
    <w:rsid w:val="005841FE"/>
    <w:rsid w:val="00584500"/>
    <w:rsid w:val="005861D7"/>
    <w:rsid w:val="005867F8"/>
    <w:rsid w:val="00587A5E"/>
    <w:rsid w:val="00587C5A"/>
    <w:rsid w:val="0059045A"/>
    <w:rsid w:val="00590CDB"/>
    <w:rsid w:val="005920F1"/>
    <w:rsid w:val="00592940"/>
    <w:rsid w:val="00594523"/>
    <w:rsid w:val="005948C4"/>
    <w:rsid w:val="00594A3C"/>
    <w:rsid w:val="005954B2"/>
    <w:rsid w:val="00596D28"/>
    <w:rsid w:val="00597919"/>
    <w:rsid w:val="005A3DA6"/>
    <w:rsid w:val="005A43D2"/>
    <w:rsid w:val="005A5416"/>
    <w:rsid w:val="005A569D"/>
    <w:rsid w:val="005A5E50"/>
    <w:rsid w:val="005B0022"/>
    <w:rsid w:val="005B0F7A"/>
    <w:rsid w:val="005B137C"/>
    <w:rsid w:val="005B3E70"/>
    <w:rsid w:val="005B7921"/>
    <w:rsid w:val="005C22CE"/>
    <w:rsid w:val="005C2476"/>
    <w:rsid w:val="005C252D"/>
    <w:rsid w:val="005C26E0"/>
    <w:rsid w:val="005C3F5A"/>
    <w:rsid w:val="005D0FA7"/>
    <w:rsid w:val="005D4A78"/>
    <w:rsid w:val="005D4CF4"/>
    <w:rsid w:val="005D5B28"/>
    <w:rsid w:val="005D6569"/>
    <w:rsid w:val="005E05E4"/>
    <w:rsid w:val="005E12C0"/>
    <w:rsid w:val="005E180A"/>
    <w:rsid w:val="005E1ED5"/>
    <w:rsid w:val="005E2FD3"/>
    <w:rsid w:val="005E4EE0"/>
    <w:rsid w:val="005E63DB"/>
    <w:rsid w:val="005F4361"/>
    <w:rsid w:val="005F4D39"/>
    <w:rsid w:val="005F4F11"/>
    <w:rsid w:val="005F67FE"/>
    <w:rsid w:val="005F6EE5"/>
    <w:rsid w:val="005F720D"/>
    <w:rsid w:val="00600021"/>
    <w:rsid w:val="00600110"/>
    <w:rsid w:val="006009DC"/>
    <w:rsid w:val="006010F8"/>
    <w:rsid w:val="00602244"/>
    <w:rsid w:val="00602693"/>
    <w:rsid w:val="00603ECF"/>
    <w:rsid w:val="006047CD"/>
    <w:rsid w:val="0060638D"/>
    <w:rsid w:val="00611822"/>
    <w:rsid w:val="006123CA"/>
    <w:rsid w:val="006136F8"/>
    <w:rsid w:val="006150B7"/>
    <w:rsid w:val="006154FE"/>
    <w:rsid w:val="00615A77"/>
    <w:rsid w:val="00616405"/>
    <w:rsid w:val="00616DFA"/>
    <w:rsid w:val="006210D3"/>
    <w:rsid w:val="006237C5"/>
    <w:rsid w:val="00623A20"/>
    <w:rsid w:val="00623B3D"/>
    <w:rsid w:val="0062466D"/>
    <w:rsid w:val="00625756"/>
    <w:rsid w:val="00627B7E"/>
    <w:rsid w:val="00632CA4"/>
    <w:rsid w:val="0063340F"/>
    <w:rsid w:val="006346FC"/>
    <w:rsid w:val="006369DE"/>
    <w:rsid w:val="00637197"/>
    <w:rsid w:val="00640743"/>
    <w:rsid w:val="00640B20"/>
    <w:rsid w:val="006420AE"/>
    <w:rsid w:val="00642A91"/>
    <w:rsid w:val="00643112"/>
    <w:rsid w:val="006437DC"/>
    <w:rsid w:val="00643867"/>
    <w:rsid w:val="00643BB2"/>
    <w:rsid w:val="00645744"/>
    <w:rsid w:val="00647185"/>
    <w:rsid w:val="00650083"/>
    <w:rsid w:val="00650FE5"/>
    <w:rsid w:val="00654776"/>
    <w:rsid w:val="00656CC1"/>
    <w:rsid w:val="006604C1"/>
    <w:rsid w:val="00660514"/>
    <w:rsid w:val="00662055"/>
    <w:rsid w:val="00665C23"/>
    <w:rsid w:val="00666327"/>
    <w:rsid w:val="00666C70"/>
    <w:rsid w:val="00666F0B"/>
    <w:rsid w:val="006672B9"/>
    <w:rsid w:val="00672124"/>
    <w:rsid w:val="00673D02"/>
    <w:rsid w:val="006743A4"/>
    <w:rsid w:val="00674ABF"/>
    <w:rsid w:val="006807F4"/>
    <w:rsid w:val="00680BFB"/>
    <w:rsid w:val="0068441E"/>
    <w:rsid w:val="00685815"/>
    <w:rsid w:val="0069143D"/>
    <w:rsid w:val="006919E3"/>
    <w:rsid w:val="006937D6"/>
    <w:rsid w:val="0069517C"/>
    <w:rsid w:val="0069529D"/>
    <w:rsid w:val="00695EF5"/>
    <w:rsid w:val="00696DAA"/>
    <w:rsid w:val="006973EE"/>
    <w:rsid w:val="00697650"/>
    <w:rsid w:val="006A0E22"/>
    <w:rsid w:val="006A1582"/>
    <w:rsid w:val="006A2E06"/>
    <w:rsid w:val="006A398C"/>
    <w:rsid w:val="006A4824"/>
    <w:rsid w:val="006A4DCC"/>
    <w:rsid w:val="006A6217"/>
    <w:rsid w:val="006A63D7"/>
    <w:rsid w:val="006A7E7D"/>
    <w:rsid w:val="006B2B07"/>
    <w:rsid w:val="006B5741"/>
    <w:rsid w:val="006B7631"/>
    <w:rsid w:val="006C0349"/>
    <w:rsid w:val="006C03BD"/>
    <w:rsid w:val="006C048E"/>
    <w:rsid w:val="006C09BE"/>
    <w:rsid w:val="006C12F3"/>
    <w:rsid w:val="006C1CED"/>
    <w:rsid w:val="006C23E1"/>
    <w:rsid w:val="006C3382"/>
    <w:rsid w:val="006C3739"/>
    <w:rsid w:val="006C458A"/>
    <w:rsid w:val="006C6DE1"/>
    <w:rsid w:val="006D0C4D"/>
    <w:rsid w:val="006D247C"/>
    <w:rsid w:val="006D3D7B"/>
    <w:rsid w:val="006D3E26"/>
    <w:rsid w:val="006D48C5"/>
    <w:rsid w:val="006D4C89"/>
    <w:rsid w:val="006D5822"/>
    <w:rsid w:val="006D6D72"/>
    <w:rsid w:val="006E08BC"/>
    <w:rsid w:val="006E0BB0"/>
    <w:rsid w:val="006E0E75"/>
    <w:rsid w:val="006E0FA2"/>
    <w:rsid w:val="006E1971"/>
    <w:rsid w:val="006E3182"/>
    <w:rsid w:val="006E5377"/>
    <w:rsid w:val="006E7B8F"/>
    <w:rsid w:val="006F05FA"/>
    <w:rsid w:val="006F0A80"/>
    <w:rsid w:val="006F1A55"/>
    <w:rsid w:val="006F423A"/>
    <w:rsid w:val="006F46CB"/>
    <w:rsid w:val="006F5EC0"/>
    <w:rsid w:val="006F6232"/>
    <w:rsid w:val="00701894"/>
    <w:rsid w:val="00703D2E"/>
    <w:rsid w:val="00706AF1"/>
    <w:rsid w:val="00706B68"/>
    <w:rsid w:val="00711A4A"/>
    <w:rsid w:val="007171D2"/>
    <w:rsid w:val="00721D08"/>
    <w:rsid w:val="00724271"/>
    <w:rsid w:val="00725322"/>
    <w:rsid w:val="0072561F"/>
    <w:rsid w:val="007279E9"/>
    <w:rsid w:val="00727A87"/>
    <w:rsid w:val="007425F0"/>
    <w:rsid w:val="007435EC"/>
    <w:rsid w:val="00743C1C"/>
    <w:rsid w:val="00743ECC"/>
    <w:rsid w:val="00744F94"/>
    <w:rsid w:val="00744FCC"/>
    <w:rsid w:val="007453B7"/>
    <w:rsid w:val="00745BDD"/>
    <w:rsid w:val="007478F2"/>
    <w:rsid w:val="007505CC"/>
    <w:rsid w:val="00751AD9"/>
    <w:rsid w:val="0075575E"/>
    <w:rsid w:val="007600F0"/>
    <w:rsid w:val="007638DE"/>
    <w:rsid w:val="00764863"/>
    <w:rsid w:val="00765E77"/>
    <w:rsid w:val="00766A71"/>
    <w:rsid w:val="0076763C"/>
    <w:rsid w:val="00770979"/>
    <w:rsid w:val="007712E1"/>
    <w:rsid w:val="00771F04"/>
    <w:rsid w:val="00772084"/>
    <w:rsid w:val="00772FC3"/>
    <w:rsid w:val="00773F81"/>
    <w:rsid w:val="0077423C"/>
    <w:rsid w:val="007770E3"/>
    <w:rsid w:val="00780B57"/>
    <w:rsid w:val="00780E5E"/>
    <w:rsid w:val="007812A1"/>
    <w:rsid w:val="00781A1D"/>
    <w:rsid w:val="00787119"/>
    <w:rsid w:val="00787B3F"/>
    <w:rsid w:val="00792DC2"/>
    <w:rsid w:val="007971C8"/>
    <w:rsid w:val="00797D89"/>
    <w:rsid w:val="007A0477"/>
    <w:rsid w:val="007A0BF0"/>
    <w:rsid w:val="007A0DFF"/>
    <w:rsid w:val="007A1243"/>
    <w:rsid w:val="007A1983"/>
    <w:rsid w:val="007A3950"/>
    <w:rsid w:val="007A4BFA"/>
    <w:rsid w:val="007A4DAC"/>
    <w:rsid w:val="007B0012"/>
    <w:rsid w:val="007B0176"/>
    <w:rsid w:val="007B1C56"/>
    <w:rsid w:val="007B22D9"/>
    <w:rsid w:val="007B57CC"/>
    <w:rsid w:val="007B674F"/>
    <w:rsid w:val="007B7A02"/>
    <w:rsid w:val="007C110E"/>
    <w:rsid w:val="007C1743"/>
    <w:rsid w:val="007C17A9"/>
    <w:rsid w:val="007C2BB9"/>
    <w:rsid w:val="007C308A"/>
    <w:rsid w:val="007C3606"/>
    <w:rsid w:val="007C6645"/>
    <w:rsid w:val="007C7EA1"/>
    <w:rsid w:val="007D0BC9"/>
    <w:rsid w:val="007D1AE2"/>
    <w:rsid w:val="007D2EB1"/>
    <w:rsid w:val="007D461F"/>
    <w:rsid w:val="007D4743"/>
    <w:rsid w:val="007D6597"/>
    <w:rsid w:val="007D6604"/>
    <w:rsid w:val="007D6B58"/>
    <w:rsid w:val="007E13BF"/>
    <w:rsid w:val="007E176B"/>
    <w:rsid w:val="007E19BE"/>
    <w:rsid w:val="007E1F5D"/>
    <w:rsid w:val="007E211A"/>
    <w:rsid w:val="007E30D6"/>
    <w:rsid w:val="007E5E94"/>
    <w:rsid w:val="007F0159"/>
    <w:rsid w:val="007F0CE2"/>
    <w:rsid w:val="007F1042"/>
    <w:rsid w:val="007F31FB"/>
    <w:rsid w:val="007F3322"/>
    <w:rsid w:val="007F3466"/>
    <w:rsid w:val="007F3B94"/>
    <w:rsid w:val="007F410A"/>
    <w:rsid w:val="007F6643"/>
    <w:rsid w:val="0080037B"/>
    <w:rsid w:val="00800D60"/>
    <w:rsid w:val="00802572"/>
    <w:rsid w:val="008033B0"/>
    <w:rsid w:val="008037AC"/>
    <w:rsid w:val="00804153"/>
    <w:rsid w:val="00804719"/>
    <w:rsid w:val="0080536B"/>
    <w:rsid w:val="0080538B"/>
    <w:rsid w:val="00805FF5"/>
    <w:rsid w:val="008064C7"/>
    <w:rsid w:val="00810D66"/>
    <w:rsid w:val="0081139D"/>
    <w:rsid w:val="0081147F"/>
    <w:rsid w:val="0081178E"/>
    <w:rsid w:val="00811DEC"/>
    <w:rsid w:val="008128F7"/>
    <w:rsid w:val="00812E3D"/>
    <w:rsid w:val="00812F61"/>
    <w:rsid w:val="00813928"/>
    <w:rsid w:val="00814C20"/>
    <w:rsid w:val="00815E8D"/>
    <w:rsid w:val="008161CA"/>
    <w:rsid w:val="008161CD"/>
    <w:rsid w:val="00816602"/>
    <w:rsid w:val="00821077"/>
    <w:rsid w:val="00821947"/>
    <w:rsid w:val="008233F2"/>
    <w:rsid w:val="00823CCE"/>
    <w:rsid w:val="008259E5"/>
    <w:rsid w:val="00827E29"/>
    <w:rsid w:val="00832BB6"/>
    <w:rsid w:val="00835C25"/>
    <w:rsid w:val="008408A2"/>
    <w:rsid w:val="0084169D"/>
    <w:rsid w:val="00842700"/>
    <w:rsid w:val="008437E1"/>
    <w:rsid w:val="0084491E"/>
    <w:rsid w:val="008449EE"/>
    <w:rsid w:val="0084626A"/>
    <w:rsid w:val="00851306"/>
    <w:rsid w:val="00853DAF"/>
    <w:rsid w:val="00853FE5"/>
    <w:rsid w:val="0085502A"/>
    <w:rsid w:val="008566E0"/>
    <w:rsid w:val="00860235"/>
    <w:rsid w:val="008608D1"/>
    <w:rsid w:val="00861881"/>
    <w:rsid w:val="0086241C"/>
    <w:rsid w:val="00862C28"/>
    <w:rsid w:val="00863016"/>
    <w:rsid w:val="008632F8"/>
    <w:rsid w:val="00865A5A"/>
    <w:rsid w:val="00865E10"/>
    <w:rsid w:val="00865FA8"/>
    <w:rsid w:val="008666F1"/>
    <w:rsid w:val="00866A55"/>
    <w:rsid w:val="00866BAB"/>
    <w:rsid w:val="00867BA1"/>
    <w:rsid w:val="008704D5"/>
    <w:rsid w:val="0087241B"/>
    <w:rsid w:val="00872FCF"/>
    <w:rsid w:val="00873018"/>
    <w:rsid w:val="00874BBE"/>
    <w:rsid w:val="008752A1"/>
    <w:rsid w:val="008752BA"/>
    <w:rsid w:val="00875737"/>
    <w:rsid w:val="00875AF0"/>
    <w:rsid w:val="00876D5C"/>
    <w:rsid w:val="00877A3F"/>
    <w:rsid w:val="008827CC"/>
    <w:rsid w:val="00883C17"/>
    <w:rsid w:val="0088669E"/>
    <w:rsid w:val="00886C4C"/>
    <w:rsid w:val="0089261D"/>
    <w:rsid w:val="008938EB"/>
    <w:rsid w:val="00894C15"/>
    <w:rsid w:val="008A28C2"/>
    <w:rsid w:val="008A28EF"/>
    <w:rsid w:val="008A3D56"/>
    <w:rsid w:val="008A6D3A"/>
    <w:rsid w:val="008B2C9F"/>
    <w:rsid w:val="008B35EA"/>
    <w:rsid w:val="008B377B"/>
    <w:rsid w:val="008B458E"/>
    <w:rsid w:val="008B5616"/>
    <w:rsid w:val="008B62EB"/>
    <w:rsid w:val="008B7B3E"/>
    <w:rsid w:val="008C03A0"/>
    <w:rsid w:val="008C0B58"/>
    <w:rsid w:val="008C0E8C"/>
    <w:rsid w:val="008C4BEE"/>
    <w:rsid w:val="008C5A8C"/>
    <w:rsid w:val="008C6594"/>
    <w:rsid w:val="008C66F5"/>
    <w:rsid w:val="008C70ED"/>
    <w:rsid w:val="008D1EFA"/>
    <w:rsid w:val="008D23E2"/>
    <w:rsid w:val="008D2E29"/>
    <w:rsid w:val="008D3F02"/>
    <w:rsid w:val="008E11BF"/>
    <w:rsid w:val="008E5099"/>
    <w:rsid w:val="008F133F"/>
    <w:rsid w:val="008F1858"/>
    <w:rsid w:val="008F1B0B"/>
    <w:rsid w:val="008F258A"/>
    <w:rsid w:val="008F2F4A"/>
    <w:rsid w:val="008F5A83"/>
    <w:rsid w:val="008F6239"/>
    <w:rsid w:val="0090034F"/>
    <w:rsid w:val="0090202E"/>
    <w:rsid w:val="0090247F"/>
    <w:rsid w:val="00902D3E"/>
    <w:rsid w:val="009052B5"/>
    <w:rsid w:val="00905AB4"/>
    <w:rsid w:val="00910BFD"/>
    <w:rsid w:val="0091318B"/>
    <w:rsid w:val="00913236"/>
    <w:rsid w:val="009139C1"/>
    <w:rsid w:val="00917328"/>
    <w:rsid w:val="009209EE"/>
    <w:rsid w:val="0092240A"/>
    <w:rsid w:val="00922EE0"/>
    <w:rsid w:val="009234B4"/>
    <w:rsid w:val="00923675"/>
    <w:rsid w:val="0092771C"/>
    <w:rsid w:val="00930B6F"/>
    <w:rsid w:val="00931DF6"/>
    <w:rsid w:val="00933A4A"/>
    <w:rsid w:val="009340A0"/>
    <w:rsid w:val="0093456F"/>
    <w:rsid w:val="00934D56"/>
    <w:rsid w:val="00934F57"/>
    <w:rsid w:val="00935964"/>
    <w:rsid w:val="009406D1"/>
    <w:rsid w:val="00941A0A"/>
    <w:rsid w:val="009438D1"/>
    <w:rsid w:val="00946262"/>
    <w:rsid w:val="00946360"/>
    <w:rsid w:val="0094678C"/>
    <w:rsid w:val="0094679F"/>
    <w:rsid w:val="00947BC1"/>
    <w:rsid w:val="00950052"/>
    <w:rsid w:val="00950B88"/>
    <w:rsid w:val="00954096"/>
    <w:rsid w:val="00954ACA"/>
    <w:rsid w:val="009577D7"/>
    <w:rsid w:val="0095780B"/>
    <w:rsid w:val="00957B83"/>
    <w:rsid w:val="0096141C"/>
    <w:rsid w:val="0096339E"/>
    <w:rsid w:val="00963D87"/>
    <w:rsid w:val="0096539C"/>
    <w:rsid w:val="0096545E"/>
    <w:rsid w:val="0096629F"/>
    <w:rsid w:val="00967696"/>
    <w:rsid w:val="009738DA"/>
    <w:rsid w:val="00973E80"/>
    <w:rsid w:val="0097492B"/>
    <w:rsid w:val="00975FA9"/>
    <w:rsid w:val="00976F69"/>
    <w:rsid w:val="00984F30"/>
    <w:rsid w:val="00990032"/>
    <w:rsid w:val="00993C58"/>
    <w:rsid w:val="00994D14"/>
    <w:rsid w:val="009A05B6"/>
    <w:rsid w:val="009A0C9C"/>
    <w:rsid w:val="009A5AEE"/>
    <w:rsid w:val="009A7760"/>
    <w:rsid w:val="009B0533"/>
    <w:rsid w:val="009B1662"/>
    <w:rsid w:val="009B39EE"/>
    <w:rsid w:val="009B5A5E"/>
    <w:rsid w:val="009B6786"/>
    <w:rsid w:val="009B7C34"/>
    <w:rsid w:val="009C0B8A"/>
    <w:rsid w:val="009C246A"/>
    <w:rsid w:val="009C2654"/>
    <w:rsid w:val="009C3D35"/>
    <w:rsid w:val="009C6494"/>
    <w:rsid w:val="009D0BFE"/>
    <w:rsid w:val="009D58D1"/>
    <w:rsid w:val="009D6221"/>
    <w:rsid w:val="009E2E7F"/>
    <w:rsid w:val="009E3492"/>
    <w:rsid w:val="009E3C08"/>
    <w:rsid w:val="009E57BA"/>
    <w:rsid w:val="009E647A"/>
    <w:rsid w:val="009F05AF"/>
    <w:rsid w:val="009F092B"/>
    <w:rsid w:val="009F2B01"/>
    <w:rsid w:val="009F404B"/>
    <w:rsid w:val="009F4D70"/>
    <w:rsid w:val="009F601F"/>
    <w:rsid w:val="009F61EA"/>
    <w:rsid w:val="009F7404"/>
    <w:rsid w:val="00A0073F"/>
    <w:rsid w:val="00A0192A"/>
    <w:rsid w:val="00A01E5D"/>
    <w:rsid w:val="00A030BD"/>
    <w:rsid w:val="00A0326D"/>
    <w:rsid w:val="00A0333D"/>
    <w:rsid w:val="00A066AE"/>
    <w:rsid w:val="00A10980"/>
    <w:rsid w:val="00A11BE6"/>
    <w:rsid w:val="00A11E3A"/>
    <w:rsid w:val="00A14C82"/>
    <w:rsid w:val="00A262B1"/>
    <w:rsid w:val="00A26379"/>
    <w:rsid w:val="00A30FEF"/>
    <w:rsid w:val="00A34D85"/>
    <w:rsid w:val="00A35538"/>
    <w:rsid w:val="00A35CD4"/>
    <w:rsid w:val="00A3654B"/>
    <w:rsid w:val="00A37590"/>
    <w:rsid w:val="00A37BC0"/>
    <w:rsid w:val="00A40B7F"/>
    <w:rsid w:val="00A40C0E"/>
    <w:rsid w:val="00A42336"/>
    <w:rsid w:val="00A42CC2"/>
    <w:rsid w:val="00A44B71"/>
    <w:rsid w:val="00A4509D"/>
    <w:rsid w:val="00A47FEE"/>
    <w:rsid w:val="00A52D99"/>
    <w:rsid w:val="00A5356E"/>
    <w:rsid w:val="00A54B82"/>
    <w:rsid w:val="00A54C60"/>
    <w:rsid w:val="00A55544"/>
    <w:rsid w:val="00A55877"/>
    <w:rsid w:val="00A5683B"/>
    <w:rsid w:val="00A568CC"/>
    <w:rsid w:val="00A57836"/>
    <w:rsid w:val="00A57ED9"/>
    <w:rsid w:val="00A602EF"/>
    <w:rsid w:val="00A623FA"/>
    <w:rsid w:val="00A6286F"/>
    <w:rsid w:val="00A63CDD"/>
    <w:rsid w:val="00A64FAB"/>
    <w:rsid w:val="00A655EB"/>
    <w:rsid w:val="00A658C9"/>
    <w:rsid w:val="00A66913"/>
    <w:rsid w:val="00A707FC"/>
    <w:rsid w:val="00A717C6"/>
    <w:rsid w:val="00A723DC"/>
    <w:rsid w:val="00A72F76"/>
    <w:rsid w:val="00A74308"/>
    <w:rsid w:val="00A7490C"/>
    <w:rsid w:val="00A74A1B"/>
    <w:rsid w:val="00A8126F"/>
    <w:rsid w:val="00A8197E"/>
    <w:rsid w:val="00A82637"/>
    <w:rsid w:val="00A83EC6"/>
    <w:rsid w:val="00A866D6"/>
    <w:rsid w:val="00A871DC"/>
    <w:rsid w:val="00A87A69"/>
    <w:rsid w:val="00A944CE"/>
    <w:rsid w:val="00A94895"/>
    <w:rsid w:val="00A94E19"/>
    <w:rsid w:val="00A95A92"/>
    <w:rsid w:val="00A95F38"/>
    <w:rsid w:val="00AA2439"/>
    <w:rsid w:val="00AA264E"/>
    <w:rsid w:val="00AA287D"/>
    <w:rsid w:val="00AA35D9"/>
    <w:rsid w:val="00AA4D9C"/>
    <w:rsid w:val="00AA570E"/>
    <w:rsid w:val="00AA5C1D"/>
    <w:rsid w:val="00AA6545"/>
    <w:rsid w:val="00AA681E"/>
    <w:rsid w:val="00AA7A89"/>
    <w:rsid w:val="00AB28BB"/>
    <w:rsid w:val="00AB2C49"/>
    <w:rsid w:val="00AB32E5"/>
    <w:rsid w:val="00AB391A"/>
    <w:rsid w:val="00AB3B92"/>
    <w:rsid w:val="00AB3BA4"/>
    <w:rsid w:val="00AB40C7"/>
    <w:rsid w:val="00AB5B73"/>
    <w:rsid w:val="00AB5C67"/>
    <w:rsid w:val="00AB5FB8"/>
    <w:rsid w:val="00AB69BF"/>
    <w:rsid w:val="00AC0D1C"/>
    <w:rsid w:val="00AC1526"/>
    <w:rsid w:val="00AC31E0"/>
    <w:rsid w:val="00AC399F"/>
    <w:rsid w:val="00AC4E70"/>
    <w:rsid w:val="00AC50E9"/>
    <w:rsid w:val="00AC5FB2"/>
    <w:rsid w:val="00AD0382"/>
    <w:rsid w:val="00AD6089"/>
    <w:rsid w:val="00AE4841"/>
    <w:rsid w:val="00AE4CB8"/>
    <w:rsid w:val="00AE61D8"/>
    <w:rsid w:val="00AE6507"/>
    <w:rsid w:val="00AE78F5"/>
    <w:rsid w:val="00AE7C73"/>
    <w:rsid w:val="00AF16C8"/>
    <w:rsid w:val="00AF2C13"/>
    <w:rsid w:val="00AF2C3F"/>
    <w:rsid w:val="00AF52AF"/>
    <w:rsid w:val="00AF55BB"/>
    <w:rsid w:val="00AF67D0"/>
    <w:rsid w:val="00AF6F35"/>
    <w:rsid w:val="00B008EF"/>
    <w:rsid w:val="00B009CC"/>
    <w:rsid w:val="00B01366"/>
    <w:rsid w:val="00B022AE"/>
    <w:rsid w:val="00B02F47"/>
    <w:rsid w:val="00B04A87"/>
    <w:rsid w:val="00B0582E"/>
    <w:rsid w:val="00B1004C"/>
    <w:rsid w:val="00B1318D"/>
    <w:rsid w:val="00B16F76"/>
    <w:rsid w:val="00B17177"/>
    <w:rsid w:val="00B21994"/>
    <w:rsid w:val="00B2318B"/>
    <w:rsid w:val="00B24334"/>
    <w:rsid w:val="00B247F4"/>
    <w:rsid w:val="00B253C5"/>
    <w:rsid w:val="00B256F7"/>
    <w:rsid w:val="00B259B5"/>
    <w:rsid w:val="00B31092"/>
    <w:rsid w:val="00B31310"/>
    <w:rsid w:val="00B33320"/>
    <w:rsid w:val="00B3391C"/>
    <w:rsid w:val="00B345FA"/>
    <w:rsid w:val="00B35B02"/>
    <w:rsid w:val="00B36C56"/>
    <w:rsid w:val="00B3775D"/>
    <w:rsid w:val="00B40EDC"/>
    <w:rsid w:val="00B423FD"/>
    <w:rsid w:val="00B42446"/>
    <w:rsid w:val="00B43BC7"/>
    <w:rsid w:val="00B45711"/>
    <w:rsid w:val="00B4605F"/>
    <w:rsid w:val="00B4761A"/>
    <w:rsid w:val="00B5209D"/>
    <w:rsid w:val="00B53FA7"/>
    <w:rsid w:val="00B54052"/>
    <w:rsid w:val="00B5673E"/>
    <w:rsid w:val="00B60632"/>
    <w:rsid w:val="00B60AC2"/>
    <w:rsid w:val="00B67CA6"/>
    <w:rsid w:val="00B70D2A"/>
    <w:rsid w:val="00B71671"/>
    <w:rsid w:val="00B728C1"/>
    <w:rsid w:val="00B73BC8"/>
    <w:rsid w:val="00B74398"/>
    <w:rsid w:val="00B75FF9"/>
    <w:rsid w:val="00B80C14"/>
    <w:rsid w:val="00B8168C"/>
    <w:rsid w:val="00B8277F"/>
    <w:rsid w:val="00B82AF7"/>
    <w:rsid w:val="00B87936"/>
    <w:rsid w:val="00B87F23"/>
    <w:rsid w:val="00B9231D"/>
    <w:rsid w:val="00B93F11"/>
    <w:rsid w:val="00B94C72"/>
    <w:rsid w:val="00B95A4D"/>
    <w:rsid w:val="00B961EE"/>
    <w:rsid w:val="00BA0D43"/>
    <w:rsid w:val="00BA0D9C"/>
    <w:rsid w:val="00BA1865"/>
    <w:rsid w:val="00BA2744"/>
    <w:rsid w:val="00BA3907"/>
    <w:rsid w:val="00BA4E5E"/>
    <w:rsid w:val="00BA7C56"/>
    <w:rsid w:val="00BB1796"/>
    <w:rsid w:val="00BB6B85"/>
    <w:rsid w:val="00BB7679"/>
    <w:rsid w:val="00BC015F"/>
    <w:rsid w:val="00BC1719"/>
    <w:rsid w:val="00BC1D11"/>
    <w:rsid w:val="00BC34B6"/>
    <w:rsid w:val="00BC3706"/>
    <w:rsid w:val="00BC6729"/>
    <w:rsid w:val="00BC7BFD"/>
    <w:rsid w:val="00BC7C5E"/>
    <w:rsid w:val="00BC7FAC"/>
    <w:rsid w:val="00BD0F19"/>
    <w:rsid w:val="00BD3A46"/>
    <w:rsid w:val="00BD4BF9"/>
    <w:rsid w:val="00BE00C5"/>
    <w:rsid w:val="00BE0B6F"/>
    <w:rsid w:val="00BE2238"/>
    <w:rsid w:val="00BE54F4"/>
    <w:rsid w:val="00BE65AC"/>
    <w:rsid w:val="00BE68A4"/>
    <w:rsid w:val="00BE7B00"/>
    <w:rsid w:val="00BE7CF6"/>
    <w:rsid w:val="00BF2E2D"/>
    <w:rsid w:val="00C00852"/>
    <w:rsid w:val="00C019AA"/>
    <w:rsid w:val="00C027B1"/>
    <w:rsid w:val="00C02B79"/>
    <w:rsid w:val="00C05062"/>
    <w:rsid w:val="00C05D0A"/>
    <w:rsid w:val="00C065D9"/>
    <w:rsid w:val="00C10D2E"/>
    <w:rsid w:val="00C11A62"/>
    <w:rsid w:val="00C11EFD"/>
    <w:rsid w:val="00C13C38"/>
    <w:rsid w:val="00C16D6D"/>
    <w:rsid w:val="00C2003E"/>
    <w:rsid w:val="00C21637"/>
    <w:rsid w:val="00C2222F"/>
    <w:rsid w:val="00C25992"/>
    <w:rsid w:val="00C3294D"/>
    <w:rsid w:val="00C32D0E"/>
    <w:rsid w:val="00C339C9"/>
    <w:rsid w:val="00C34F57"/>
    <w:rsid w:val="00C356B1"/>
    <w:rsid w:val="00C35C40"/>
    <w:rsid w:val="00C43FF5"/>
    <w:rsid w:val="00C44325"/>
    <w:rsid w:val="00C45927"/>
    <w:rsid w:val="00C46D52"/>
    <w:rsid w:val="00C47160"/>
    <w:rsid w:val="00C50792"/>
    <w:rsid w:val="00C50C80"/>
    <w:rsid w:val="00C50D67"/>
    <w:rsid w:val="00C511D5"/>
    <w:rsid w:val="00C51377"/>
    <w:rsid w:val="00C51746"/>
    <w:rsid w:val="00C5198E"/>
    <w:rsid w:val="00C52617"/>
    <w:rsid w:val="00C528D3"/>
    <w:rsid w:val="00C52C62"/>
    <w:rsid w:val="00C53275"/>
    <w:rsid w:val="00C544EE"/>
    <w:rsid w:val="00C54AED"/>
    <w:rsid w:val="00C54B33"/>
    <w:rsid w:val="00C54DE2"/>
    <w:rsid w:val="00C574F7"/>
    <w:rsid w:val="00C57AED"/>
    <w:rsid w:val="00C6204E"/>
    <w:rsid w:val="00C6207E"/>
    <w:rsid w:val="00C63538"/>
    <w:rsid w:val="00C63CB9"/>
    <w:rsid w:val="00C65177"/>
    <w:rsid w:val="00C65BB1"/>
    <w:rsid w:val="00C66729"/>
    <w:rsid w:val="00C679C9"/>
    <w:rsid w:val="00C67F35"/>
    <w:rsid w:val="00C71893"/>
    <w:rsid w:val="00C71CCB"/>
    <w:rsid w:val="00C73AC3"/>
    <w:rsid w:val="00C73E08"/>
    <w:rsid w:val="00C74246"/>
    <w:rsid w:val="00C74EE5"/>
    <w:rsid w:val="00C7517E"/>
    <w:rsid w:val="00C77A01"/>
    <w:rsid w:val="00C80865"/>
    <w:rsid w:val="00C83991"/>
    <w:rsid w:val="00C86DD0"/>
    <w:rsid w:val="00C90438"/>
    <w:rsid w:val="00C91A3D"/>
    <w:rsid w:val="00C97E7E"/>
    <w:rsid w:val="00CA3733"/>
    <w:rsid w:val="00CA491B"/>
    <w:rsid w:val="00CA4D9E"/>
    <w:rsid w:val="00CA5804"/>
    <w:rsid w:val="00CB028A"/>
    <w:rsid w:val="00CB168E"/>
    <w:rsid w:val="00CB16E5"/>
    <w:rsid w:val="00CB1C1B"/>
    <w:rsid w:val="00CB29A8"/>
    <w:rsid w:val="00CB4B86"/>
    <w:rsid w:val="00CB6C29"/>
    <w:rsid w:val="00CB6F60"/>
    <w:rsid w:val="00CB76FB"/>
    <w:rsid w:val="00CB7747"/>
    <w:rsid w:val="00CC00BC"/>
    <w:rsid w:val="00CC0D41"/>
    <w:rsid w:val="00CC3365"/>
    <w:rsid w:val="00CC3435"/>
    <w:rsid w:val="00CC5380"/>
    <w:rsid w:val="00CC6AD0"/>
    <w:rsid w:val="00CC7C7B"/>
    <w:rsid w:val="00CD09D4"/>
    <w:rsid w:val="00CD193E"/>
    <w:rsid w:val="00CD1DA3"/>
    <w:rsid w:val="00CD743D"/>
    <w:rsid w:val="00CE49AA"/>
    <w:rsid w:val="00CE5F34"/>
    <w:rsid w:val="00CE7E1F"/>
    <w:rsid w:val="00CF077D"/>
    <w:rsid w:val="00CF4E11"/>
    <w:rsid w:val="00CF5E08"/>
    <w:rsid w:val="00CF7AFA"/>
    <w:rsid w:val="00D00231"/>
    <w:rsid w:val="00D01260"/>
    <w:rsid w:val="00D01830"/>
    <w:rsid w:val="00D0230D"/>
    <w:rsid w:val="00D02F3F"/>
    <w:rsid w:val="00D04691"/>
    <w:rsid w:val="00D05462"/>
    <w:rsid w:val="00D055C7"/>
    <w:rsid w:val="00D06E30"/>
    <w:rsid w:val="00D07323"/>
    <w:rsid w:val="00D10342"/>
    <w:rsid w:val="00D107E2"/>
    <w:rsid w:val="00D10C41"/>
    <w:rsid w:val="00D10FFE"/>
    <w:rsid w:val="00D13894"/>
    <w:rsid w:val="00D13C9F"/>
    <w:rsid w:val="00D1546E"/>
    <w:rsid w:val="00D163DB"/>
    <w:rsid w:val="00D1720F"/>
    <w:rsid w:val="00D178B0"/>
    <w:rsid w:val="00D2266A"/>
    <w:rsid w:val="00D235BF"/>
    <w:rsid w:val="00D242C4"/>
    <w:rsid w:val="00D25028"/>
    <w:rsid w:val="00D2532E"/>
    <w:rsid w:val="00D25B4C"/>
    <w:rsid w:val="00D26309"/>
    <w:rsid w:val="00D27883"/>
    <w:rsid w:val="00D31285"/>
    <w:rsid w:val="00D3224E"/>
    <w:rsid w:val="00D32C41"/>
    <w:rsid w:val="00D32EAE"/>
    <w:rsid w:val="00D34E4D"/>
    <w:rsid w:val="00D36EF9"/>
    <w:rsid w:val="00D40767"/>
    <w:rsid w:val="00D424DB"/>
    <w:rsid w:val="00D432F9"/>
    <w:rsid w:val="00D4353A"/>
    <w:rsid w:val="00D43966"/>
    <w:rsid w:val="00D446A2"/>
    <w:rsid w:val="00D44A94"/>
    <w:rsid w:val="00D46BC6"/>
    <w:rsid w:val="00D46F5D"/>
    <w:rsid w:val="00D474A4"/>
    <w:rsid w:val="00D47CB7"/>
    <w:rsid w:val="00D519C1"/>
    <w:rsid w:val="00D52894"/>
    <w:rsid w:val="00D5376C"/>
    <w:rsid w:val="00D544CD"/>
    <w:rsid w:val="00D60D2A"/>
    <w:rsid w:val="00D61C24"/>
    <w:rsid w:val="00D6343B"/>
    <w:rsid w:val="00D63852"/>
    <w:rsid w:val="00D63D76"/>
    <w:rsid w:val="00D65E8E"/>
    <w:rsid w:val="00D65FF9"/>
    <w:rsid w:val="00D66BE0"/>
    <w:rsid w:val="00D70876"/>
    <w:rsid w:val="00D708AB"/>
    <w:rsid w:val="00D72ABE"/>
    <w:rsid w:val="00D73BB1"/>
    <w:rsid w:val="00D74602"/>
    <w:rsid w:val="00D7483B"/>
    <w:rsid w:val="00D7636E"/>
    <w:rsid w:val="00D77835"/>
    <w:rsid w:val="00D820B0"/>
    <w:rsid w:val="00D823FE"/>
    <w:rsid w:val="00D82F1E"/>
    <w:rsid w:val="00D83119"/>
    <w:rsid w:val="00D8422C"/>
    <w:rsid w:val="00D871CF"/>
    <w:rsid w:val="00D8733B"/>
    <w:rsid w:val="00D87555"/>
    <w:rsid w:val="00D901CE"/>
    <w:rsid w:val="00D92E6D"/>
    <w:rsid w:val="00D935E2"/>
    <w:rsid w:val="00D9392A"/>
    <w:rsid w:val="00D9430C"/>
    <w:rsid w:val="00D94433"/>
    <w:rsid w:val="00D9451B"/>
    <w:rsid w:val="00D94C17"/>
    <w:rsid w:val="00DA0CE3"/>
    <w:rsid w:val="00DA2818"/>
    <w:rsid w:val="00DA4204"/>
    <w:rsid w:val="00DA59BF"/>
    <w:rsid w:val="00DA5A9A"/>
    <w:rsid w:val="00DA6149"/>
    <w:rsid w:val="00DA717B"/>
    <w:rsid w:val="00DA7B39"/>
    <w:rsid w:val="00DB0034"/>
    <w:rsid w:val="00DB0BD0"/>
    <w:rsid w:val="00DB0EC3"/>
    <w:rsid w:val="00DB1199"/>
    <w:rsid w:val="00DB126D"/>
    <w:rsid w:val="00DB1953"/>
    <w:rsid w:val="00DB352E"/>
    <w:rsid w:val="00DB40F6"/>
    <w:rsid w:val="00DB41FF"/>
    <w:rsid w:val="00DB5195"/>
    <w:rsid w:val="00DB6C38"/>
    <w:rsid w:val="00DC1F2C"/>
    <w:rsid w:val="00DC1F77"/>
    <w:rsid w:val="00DC2A58"/>
    <w:rsid w:val="00DC32A5"/>
    <w:rsid w:val="00DC62BC"/>
    <w:rsid w:val="00DC634C"/>
    <w:rsid w:val="00DC7B5A"/>
    <w:rsid w:val="00DD082D"/>
    <w:rsid w:val="00DD0C92"/>
    <w:rsid w:val="00DD2ABC"/>
    <w:rsid w:val="00DD6176"/>
    <w:rsid w:val="00DD699A"/>
    <w:rsid w:val="00DD770B"/>
    <w:rsid w:val="00DE0BA0"/>
    <w:rsid w:val="00DE144D"/>
    <w:rsid w:val="00DE1805"/>
    <w:rsid w:val="00DE5342"/>
    <w:rsid w:val="00DE5E3F"/>
    <w:rsid w:val="00DF0752"/>
    <w:rsid w:val="00DF1A54"/>
    <w:rsid w:val="00DF264A"/>
    <w:rsid w:val="00DF2F57"/>
    <w:rsid w:val="00DF451C"/>
    <w:rsid w:val="00DF6A87"/>
    <w:rsid w:val="00DF7AF2"/>
    <w:rsid w:val="00E042D1"/>
    <w:rsid w:val="00E07061"/>
    <w:rsid w:val="00E10285"/>
    <w:rsid w:val="00E109BF"/>
    <w:rsid w:val="00E10E1B"/>
    <w:rsid w:val="00E11A85"/>
    <w:rsid w:val="00E1234A"/>
    <w:rsid w:val="00E12758"/>
    <w:rsid w:val="00E17BDC"/>
    <w:rsid w:val="00E21088"/>
    <w:rsid w:val="00E2115A"/>
    <w:rsid w:val="00E22BF9"/>
    <w:rsid w:val="00E2455E"/>
    <w:rsid w:val="00E26622"/>
    <w:rsid w:val="00E30D56"/>
    <w:rsid w:val="00E31D8A"/>
    <w:rsid w:val="00E322B0"/>
    <w:rsid w:val="00E3326E"/>
    <w:rsid w:val="00E35F65"/>
    <w:rsid w:val="00E41C1A"/>
    <w:rsid w:val="00E42B24"/>
    <w:rsid w:val="00E438A1"/>
    <w:rsid w:val="00E440CE"/>
    <w:rsid w:val="00E457FC"/>
    <w:rsid w:val="00E45CFD"/>
    <w:rsid w:val="00E50DE6"/>
    <w:rsid w:val="00E50F38"/>
    <w:rsid w:val="00E51201"/>
    <w:rsid w:val="00E5486D"/>
    <w:rsid w:val="00E54CDB"/>
    <w:rsid w:val="00E60455"/>
    <w:rsid w:val="00E61419"/>
    <w:rsid w:val="00E61618"/>
    <w:rsid w:val="00E618E4"/>
    <w:rsid w:val="00E61DAD"/>
    <w:rsid w:val="00E651C1"/>
    <w:rsid w:val="00E65EE8"/>
    <w:rsid w:val="00E67CB6"/>
    <w:rsid w:val="00E67D0E"/>
    <w:rsid w:val="00E705CA"/>
    <w:rsid w:val="00E72797"/>
    <w:rsid w:val="00E76467"/>
    <w:rsid w:val="00E765C6"/>
    <w:rsid w:val="00E77193"/>
    <w:rsid w:val="00E771E7"/>
    <w:rsid w:val="00E77854"/>
    <w:rsid w:val="00E77934"/>
    <w:rsid w:val="00E8031F"/>
    <w:rsid w:val="00E82237"/>
    <w:rsid w:val="00E8239A"/>
    <w:rsid w:val="00E8441F"/>
    <w:rsid w:val="00E844D0"/>
    <w:rsid w:val="00E870F5"/>
    <w:rsid w:val="00E93097"/>
    <w:rsid w:val="00E940F9"/>
    <w:rsid w:val="00EA0DDA"/>
    <w:rsid w:val="00EA14A6"/>
    <w:rsid w:val="00EA198A"/>
    <w:rsid w:val="00EA1A6C"/>
    <w:rsid w:val="00EA244A"/>
    <w:rsid w:val="00EA24DB"/>
    <w:rsid w:val="00EA4E19"/>
    <w:rsid w:val="00EA6696"/>
    <w:rsid w:val="00EA6EC6"/>
    <w:rsid w:val="00EB05C9"/>
    <w:rsid w:val="00EB0ABD"/>
    <w:rsid w:val="00EB210D"/>
    <w:rsid w:val="00EB30FD"/>
    <w:rsid w:val="00EB4095"/>
    <w:rsid w:val="00EB4C9F"/>
    <w:rsid w:val="00EB73E1"/>
    <w:rsid w:val="00EC6FA6"/>
    <w:rsid w:val="00ED0849"/>
    <w:rsid w:val="00ED519A"/>
    <w:rsid w:val="00ED6011"/>
    <w:rsid w:val="00ED7223"/>
    <w:rsid w:val="00ED7F72"/>
    <w:rsid w:val="00EE0710"/>
    <w:rsid w:val="00EE4935"/>
    <w:rsid w:val="00EE5347"/>
    <w:rsid w:val="00EE545E"/>
    <w:rsid w:val="00EE5AA4"/>
    <w:rsid w:val="00EE5FCB"/>
    <w:rsid w:val="00EE7493"/>
    <w:rsid w:val="00EF3D84"/>
    <w:rsid w:val="00EF49A2"/>
    <w:rsid w:val="00EF68EE"/>
    <w:rsid w:val="00EF6A45"/>
    <w:rsid w:val="00F03CA4"/>
    <w:rsid w:val="00F11D90"/>
    <w:rsid w:val="00F139CD"/>
    <w:rsid w:val="00F14107"/>
    <w:rsid w:val="00F14B4A"/>
    <w:rsid w:val="00F16691"/>
    <w:rsid w:val="00F16879"/>
    <w:rsid w:val="00F1786B"/>
    <w:rsid w:val="00F20509"/>
    <w:rsid w:val="00F20AD5"/>
    <w:rsid w:val="00F2100A"/>
    <w:rsid w:val="00F21552"/>
    <w:rsid w:val="00F220D2"/>
    <w:rsid w:val="00F23919"/>
    <w:rsid w:val="00F26FED"/>
    <w:rsid w:val="00F33A36"/>
    <w:rsid w:val="00F34D58"/>
    <w:rsid w:val="00F359FF"/>
    <w:rsid w:val="00F37AB2"/>
    <w:rsid w:val="00F4012A"/>
    <w:rsid w:val="00F41224"/>
    <w:rsid w:val="00F41943"/>
    <w:rsid w:val="00F41ED2"/>
    <w:rsid w:val="00F45184"/>
    <w:rsid w:val="00F51D29"/>
    <w:rsid w:val="00F53289"/>
    <w:rsid w:val="00F571BB"/>
    <w:rsid w:val="00F602E8"/>
    <w:rsid w:val="00F61C09"/>
    <w:rsid w:val="00F6268B"/>
    <w:rsid w:val="00F63E07"/>
    <w:rsid w:val="00F64CFC"/>
    <w:rsid w:val="00F655CE"/>
    <w:rsid w:val="00F70755"/>
    <w:rsid w:val="00F71271"/>
    <w:rsid w:val="00F72028"/>
    <w:rsid w:val="00F73936"/>
    <w:rsid w:val="00F74EDB"/>
    <w:rsid w:val="00F76CD6"/>
    <w:rsid w:val="00F8074B"/>
    <w:rsid w:val="00F8110E"/>
    <w:rsid w:val="00F81B47"/>
    <w:rsid w:val="00F82B8C"/>
    <w:rsid w:val="00F833E2"/>
    <w:rsid w:val="00F84AD7"/>
    <w:rsid w:val="00F85D14"/>
    <w:rsid w:val="00F86120"/>
    <w:rsid w:val="00F903B5"/>
    <w:rsid w:val="00F90D06"/>
    <w:rsid w:val="00F9368E"/>
    <w:rsid w:val="00F94CB8"/>
    <w:rsid w:val="00F97F7B"/>
    <w:rsid w:val="00FA0478"/>
    <w:rsid w:val="00FA0775"/>
    <w:rsid w:val="00FA0D73"/>
    <w:rsid w:val="00FA0ED7"/>
    <w:rsid w:val="00FA223C"/>
    <w:rsid w:val="00FA33AC"/>
    <w:rsid w:val="00FA45C1"/>
    <w:rsid w:val="00FA4890"/>
    <w:rsid w:val="00FA4CDD"/>
    <w:rsid w:val="00FA5148"/>
    <w:rsid w:val="00FA58E2"/>
    <w:rsid w:val="00FA67E5"/>
    <w:rsid w:val="00FA6AE0"/>
    <w:rsid w:val="00FA7453"/>
    <w:rsid w:val="00FB099C"/>
    <w:rsid w:val="00FB0CEE"/>
    <w:rsid w:val="00FB42AF"/>
    <w:rsid w:val="00FB43DD"/>
    <w:rsid w:val="00FB540D"/>
    <w:rsid w:val="00FB5EB9"/>
    <w:rsid w:val="00FB6A88"/>
    <w:rsid w:val="00FB7D4A"/>
    <w:rsid w:val="00FB7DD9"/>
    <w:rsid w:val="00FC035C"/>
    <w:rsid w:val="00FC0A14"/>
    <w:rsid w:val="00FC129F"/>
    <w:rsid w:val="00FC1D2D"/>
    <w:rsid w:val="00FC267E"/>
    <w:rsid w:val="00FC299D"/>
    <w:rsid w:val="00FC29F3"/>
    <w:rsid w:val="00FC39C3"/>
    <w:rsid w:val="00FC3D4E"/>
    <w:rsid w:val="00FD01AC"/>
    <w:rsid w:val="00FD03D4"/>
    <w:rsid w:val="00FD0B35"/>
    <w:rsid w:val="00FD0B48"/>
    <w:rsid w:val="00FD1447"/>
    <w:rsid w:val="00FD2649"/>
    <w:rsid w:val="00FD3ECE"/>
    <w:rsid w:val="00FD5D81"/>
    <w:rsid w:val="00FE1051"/>
    <w:rsid w:val="00FE3A36"/>
    <w:rsid w:val="00FE4602"/>
    <w:rsid w:val="00FE48E6"/>
    <w:rsid w:val="00FE4D6C"/>
    <w:rsid w:val="00FE6563"/>
    <w:rsid w:val="00FE6819"/>
    <w:rsid w:val="00FF0A94"/>
    <w:rsid w:val="00FF2342"/>
    <w:rsid w:val="00FF50ED"/>
    <w:rsid w:val="00FF61C6"/>
    <w:rsid w:val="00FF63AD"/>
    <w:rsid w:val="00FF6F5A"/>
    <w:rsid w:val="00FF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C1"/>
  </w:style>
  <w:style w:type="paragraph" w:styleId="Heading1">
    <w:name w:val="heading 1"/>
    <w:basedOn w:val="Normal"/>
    <w:next w:val="Normal"/>
    <w:link w:val="Heading1Char"/>
    <w:uiPriority w:val="9"/>
    <w:qFormat/>
    <w:rsid w:val="001E3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A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7C5"/>
    <w:pPr>
      <w:tabs>
        <w:tab w:val="center" w:pos="4680"/>
        <w:tab w:val="right" w:pos="9360"/>
      </w:tabs>
    </w:pPr>
  </w:style>
  <w:style w:type="character" w:customStyle="1" w:styleId="HeaderChar">
    <w:name w:val="Header Char"/>
    <w:basedOn w:val="DefaultParagraphFont"/>
    <w:link w:val="Header"/>
    <w:uiPriority w:val="99"/>
    <w:semiHidden/>
    <w:rsid w:val="006237C5"/>
  </w:style>
  <w:style w:type="paragraph" w:styleId="Footer">
    <w:name w:val="footer"/>
    <w:basedOn w:val="Normal"/>
    <w:link w:val="FooterChar"/>
    <w:uiPriority w:val="99"/>
    <w:unhideWhenUsed/>
    <w:rsid w:val="006237C5"/>
    <w:pPr>
      <w:tabs>
        <w:tab w:val="center" w:pos="4680"/>
        <w:tab w:val="right" w:pos="9360"/>
      </w:tabs>
    </w:pPr>
  </w:style>
  <w:style w:type="character" w:customStyle="1" w:styleId="FooterChar">
    <w:name w:val="Footer Char"/>
    <w:basedOn w:val="DefaultParagraphFont"/>
    <w:link w:val="Footer"/>
    <w:uiPriority w:val="99"/>
    <w:rsid w:val="006237C5"/>
  </w:style>
  <w:style w:type="paragraph" w:styleId="ListParagraph">
    <w:name w:val="List Paragraph"/>
    <w:basedOn w:val="Normal"/>
    <w:uiPriority w:val="34"/>
    <w:qFormat/>
    <w:rsid w:val="00894C15"/>
    <w:pPr>
      <w:ind w:left="720"/>
      <w:contextualSpacing/>
    </w:pPr>
  </w:style>
  <w:style w:type="paragraph" w:styleId="NoSpacing">
    <w:name w:val="No Spacing"/>
    <w:link w:val="NoSpacingChar"/>
    <w:uiPriority w:val="1"/>
    <w:qFormat/>
    <w:rsid w:val="004E7D0D"/>
    <w:pPr>
      <w:jc w:val="left"/>
    </w:pPr>
  </w:style>
  <w:style w:type="paragraph" w:customStyle="1" w:styleId="Default">
    <w:name w:val="Default"/>
    <w:rsid w:val="004E7D0D"/>
    <w:pPr>
      <w:autoSpaceDE w:val="0"/>
      <w:autoSpaceDN w:val="0"/>
      <w:adjustRightInd w:val="0"/>
      <w:jc w:val="left"/>
    </w:pPr>
    <w:rPr>
      <w:rFonts w:ascii="Verdana" w:hAnsi="Verdana" w:cs="Verdana"/>
      <w:color w:val="000000"/>
      <w:sz w:val="24"/>
      <w:szCs w:val="24"/>
    </w:rPr>
  </w:style>
  <w:style w:type="character" w:customStyle="1" w:styleId="BalloonTextChar">
    <w:name w:val="Balloon Text Char"/>
    <w:basedOn w:val="DefaultParagraphFont"/>
    <w:link w:val="BalloonText"/>
    <w:uiPriority w:val="99"/>
    <w:semiHidden/>
    <w:rsid w:val="004E7D0D"/>
    <w:rPr>
      <w:rFonts w:ascii="Tahoma" w:hAnsi="Tahoma" w:cs="Tahoma"/>
      <w:sz w:val="16"/>
      <w:szCs w:val="16"/>
    </w:rPr>
  </w:style>
  <w:style w:type="paragraph" w:styleId="BalloonText">
    <w:name w:val="Balloon Text"/>
    <w:basedOn w:val="Normal"/>
    <w:link w:val="BalloonTextChar"/>
    <w:uiPriority w:val="99"/>
    <w:semiHidden/>
    <w:unhideWhenUsed/>
    <w:rsid w:val="004E7D0D"/>
    <w:pPr>
      <w:jc w:val="left"/>
    </w:pPr>
    <w:rPr>
      <w:rFonts w:ascii="Tahoma" w:hAnsi="Tahoma" w:cs="Tahoma"/>
      <w:sz w:val="16"/>
      <w:szCs w:val="16"/>
    </w:rPr>
  </w:style>
  <w:style w:type="character" w:customStyle="1" w:styleId="NoSpacingChar">
    <w:name w:val="No Spacing Char"/>
    <w:basedOn w:val="DefaultParagraphFont"/>
    <w:link w:val="NoSpacing"/>
    <w:uiPriority w:val="1"/>
    <w:rsid w:val="003E1416"/>
  </w:style>
  <w:style w:type="table" w:styleId="TableGrid">
    <w:name w:val="Table Grid"/>
    <w:basedOn w:val="TableNormal"/>
    <w:uiPriority w:val="59"/>
    <w:rsid w:val="00F97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1A26"/>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356E"/>
  </w:style>
  <w:style w:type="character" w:styleId="Hyperlink">
    <w:name w:val="Hyperlink"/>
    <w:basedOn w:val="DefaultParagraphFont"/>
    <w:uiPriority w:val="99"/>
    <w:unhideWhenUsed/>
    <w:rsid w:val="00A5356E"/>
    <w:rPr>
      <w:color w:val="0000FF"/>
      <w:u w:val="single"/>
    </w:rPr>
  </w:style>
  <w:style w:type="character" w:customStyle="1" w:styleId="Heading1Char">
    <w:name w:val="Heading 1 Char"/>
    <w:basedOn w:val="DefaultParagraphFont"/>
    <w:link w:val="Heading1"/>
    <w:uiPriority w:val="9"/>
    <w:rsid w:val="001E34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E344C"/>
    <w:pPr>
      <w:spacing w:line="276" w:lineRule="auto"/>
      <w:jc w:val="left"/>
      <w:outlineLvl w:val="9"/>
    </w:pPr>
  </w:style>
  <w:style w:type="paragraph" w:styleId="TOC1">
    <w:name w:val="toc 1"/>
    <w:basedOn w:val="Normal"/>
    <w:next w:val="Normal"/>
    <w:autoRedefine/>
    <w:uiPriority w:val="39"/>
    <w:unhideWhenUsed/>
    <w:rsid w:val="005E4EE0"/>
    <w:pPr>
      <w:tabs>
        <w:tab w:val="left" w:pos="360"/>
        <w:tab w:val="right" w:leader="dot" w:pos="9350"/>
      </w:tabs>
      <w:spacing w:after="100"/>
    </w:pPr>
    <w:rPr>
      <w:rFonts w:ascii="Times New Roman" w:hAnsi="Times New Roman" w:cs="Times New Roman"/>
      <w:b/>
      <w:noProof/>
    </w:rPr>
  </w:style>
  <w:style w:type="character" w:customStyle="1" w:styleId="Heading2Char">
    <w:name w:val="Heading 2 Char"/>
    <w:basedOn w:val="DefaultParagraphFont"/>
    <w:link w:val="Heading2"/>
    <w:uiPriority w:val="9"/>
    <w:semiHidden/>
    <w:rsid w:val="00557A5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32BB6"/>
    <w:pPr>
      <w:tabs>
        <w:tab w:val="left" w:pos="660"/>
        <w:tab w:val="right" w:leader="dot" w:pos="9350"/>
      </w:tabs>
      <w:spacing w:after="100"/>
      <w:ind w:left="220"/>
    </w:pPr>
    <w:rPr>
      <w:rFonts w:ascii="Times New Roman" w:hAnsi="Times New Roman" w:cs="Times New Roman"/>
      <w:b/>
      <w:noProof/>
    </w:rPr>
  </w:style>
  <w:style w:type="paragraph" w:styleId="TOC3">
    <w:name w:val="toc 3"/>
    <w:basedOn w:val="Normal"/>
    <w:next w:val="Normal"/>
    <w:autoRedefine/>
    <w:uiPriority w:val="39"/>
    <w:unhideWhenUsed/>
    <w:rsid w:val="00832BB6"/>
    <w:pPr>
      <w:tabs>
        <w:tab w:val="left" w:pos="880"/>
        <w:tab w:val="right" w:leader="dot" w:pos="9350"/>
      </w:tabs>
      <w:spacing w:after="100"/>
      <w:ind w:left="440"/>
    </w:pPr>
    <w:rPr>
      <w:rFonts w:ascii="Times New Roman" w:hAnsi="Times New Roman" w:cs="Times New Roman"/>
      <w:b/>
      <w:noProof/>
    </w:rPr>
  </w:style>
  <w:style w:type="paragraph" w:styleId="DocumentMap">
    <w:name w:val="Document Map"/>
    <w:basedOn w:val="Normal"/>
    <w:link w:val="DocumentMapChar"/>
    <w:uiPriority w:val="99"/>
    <w:semiHidden/>
    <w:unhideWhenUsed/>
    <w:rsid w:val="00D901CE"/>
    <w:rPr>
      <w:rFonts w:ascii="Tahoma" w:hAnsi="Tahoma" w:cs="Tahoma"/>
      <w:sz w:val="16"/>
      <w:szCs w:val="16"/>
    </w:rPr>
  </w:style>
  <w:style w:type="character" w:customStyle="1" w:styleId="DocumentMapChar">
    <w:name w:val="Document Map Char"/>
    <w:basedOn w:val="DefaultParagraphFont"/>
    <w:link w:val="DocumentMap"/>
    <w:uiPriority w:val="99"/>
    <w:semiHidden/>
    <w:rsid w:val="00D901CE"/>
    <w:rPr>
      <w:rFonts w:ascii="Tahoma" w:hAnsi="Tahoma" w:cs="Tahoma"/>
      <w:sz w:val="16"/>
      <w:szCs w:val="16"/>
    </w:rPr>
  </w:style>
  <w:style w:type="paragraph" w:styleId="FootnoteText">
    <w:name w:val="footnote text"/>
    <w:basedOn w:val="Normal"/>
    <w:link w:val="FootnoteTextChar"/>
    <w:uiPriority w:val="99"/>
    <w:semiHidden/>
    <w:unhideWhenUsed/>
    <w:rsid w:val="00842700"/>
    <w:rPr>
      <w:sz w:val="20"/>
      <w:szCs w:val="20"/>
    </w:rPr>
  </w:style>
  <w:style w:type="character" w:customStyle="1" w:styleId="FootnoteTextChar">
    <w:name w:val="Footnote Text Char"/>
    <w:basedOn w:val="DefaultParagraphFont"/>
    <w:link w:val="FootnoteText"/>
    <w:uiPriority w:val="99"/>
    <w:semiHidden/>
    <w:rsid w:val="00842700"/>
    <w:rPr>
      <w:sz w:val="20"/>
      <w:szCs w:val="20"/>
    </w:rPr>
  </w:style>
  <w:style w:type="character" w:styleId="FootnoteReference">
    <w:name w:val="footnote reference"/>
    <w:basedOn w:val="DefaultParagraphFont"/>
    <w:uiPriority w:val="99"/>
    <w:semiHidden/>
    <w:unhideWhenUsed/>
    <w:rsid w:val="00842700"/>
    <w:rPr>
      <w:vertAlign w:val="superscript"/>
    </w:rPr>
  </w:style>
  <w:style w:type="paragraph" w:styleId="EndnoteText">
    <w:name w:val="endnote text"/>
    <w:basedOn w:val="Normal"/>
    <w:link w:val="EndnoteTextChar"/>
    <w:uiPriority w:val="99"/>
    <w:semiHidden/>
    <w:unhideWhenUsed/>
    <w:rsid w:val="00934F57"/>
    <w:rPr>
      <w:sz w:val="20"/>
      <w:szCs w:val="20"/>
    </w:rPr>
  </w:style>
  <w:style w:type="character" w:customStyle="1" w:styleId="EndnoteTextChar">
    <w:name w:val="Endnote Text Char"/>
    <w:basedOn w:val="DefaultParagraphFont"/>
    <w:link w:val="EndnoteText"/>
    <w:uiPriority w:val="99"/>
    <w:semiHidden/>
    <w:rsid w:val="00934F57"/>
    <w:rPr>
      <w:sz w:val="20"/>
      <w:szCs w:val="20"/>
    </w:rPr>
  </w:style>
  <w:style w:type="character" w:styleId="EndnoteReference">
    <w:name w:val="endnote reference"/>
    <w:basedOn w:val="DefaultParagraphFont"/>
    <w:uiPriority w:val="99"/>
    <w:semiHidden/>
    <w:unhideWhenUsed/>
    <w:rsid w:val="00934F57"/>
    <w:rPr>
      <w:vertAlign w:val="superscript"/>
    </w:rPr>
  </w:style>
  <w:style w:type="character" w:styleId="Emphasis">
    <w:name w:val="Emphasis"/>
    <w:basedOn w:val="DefaultParagraphFont"/>
    <w:uiPriority w:val="20"/>
    <w:qFormat/>
    <w:rsid w:val="00984F30"/>
    <w:rPr>
      <w:i/>
      <w:iCs/>
    </w:rPr>
  </w:style>
</w:styles>
</file>

<file path=word/webSettings.xml><?xml version="1.0" encoding="utf-8"?>
<w:webSettings xmlns:r="http://schemas.openxmlformats.org/officeDocument/2006/relationships" xmlns:w="http://schemas.openxmlformats.org/wordprocessingml/2006/main">
  <w:divs>
    <w:div w:id="36200401">
      <w:bodyDiv w:val="1"/>
      <w:marLeft w:val="0"/>
      <w:marRight w:val="0"/>
      <w:marTop w:val="0"/>
      <w:marBottom w:val="0"/>
      <w:divBdr>
        <w:top w:val="none" w:sz="0" w:space="0" w:color="auto"/>
        <w:left w:val="none" w:sz="0" w:space="0" w:color="auto"/>
        <w:bottom w:val="none" w:sz="0" w:space="0" w:color="auto"/>
        <w:right w:val="none" w:sz="0" w:space="0" w:color="auto"/>
      </w:divBdr>
    </w:div>
    <w:div w:id="166600986">
      <w:bodyDiv w:val="1"/>
      <w:marLeft w:val="0"/>
      <w:marRight w:val="0"/>
      <w:marTop w:val="0"/>
      <w:marBottom w:val="0"/>
      <w:divBdr>
        <w:top w:val="none" w:sz="0" w:space="0" w:color="auto"/>
        <w:left w:val="none" w:sz="0" w:space="0" w:color="auto"/>
        <w:bottom w:val="none" w:sz="0" w:space="0" w:color="auto"/>
        <w:right w:val="none" w:sz="0" w:space="0" w:color="auto"/>
      </w:divBdr>
    </w:div>
    <w:div w:id="170991037">
      <w:bodyDiv w:val="1"/>
      <w:marLeft w:val="0"/>
      <w:marRight w:val="0"/>
      <w:marTop w:val="0"/>
      <w:marBottom w:val="0"/>
      <w:divBdr>
        <w:top w:val="none" w:sz="0" w:space="0" w:color="auto"/>
        <w:left w:val="none" w:sz="0" w:space="0" w:color="auto"/>
        <w:bottom w:val="none" w:sz="0" w:space="0" w:color="auto"/>
        <w:right w:val="none" w:sz="0" w:space="0" w:color="auto"/>
      </w:divBdr>
    </w:div>
    <w:div w:id="172187091">
      <w:bodyDiv w:val="1"/>
      <w:marLeft w:val="0"/>
      <w:marRight w:val="0"/>
      <w:marTop w:val="0"/>
      <w:marBottom w:val="0"/>
      <w:divBdr>
        <w:top w:val="none" w:sz="0" w:space="0" w:color="auto"/>
        <w:left w:val="none" w:sz="0" w:space="0" w:color="auto"/>
        <w:bottom w:val="none" w:sz="0" w:space="0" w:color="auto"/>
        <w:right w:val="none" w:sz="0" w:space="0" w:color="auto"/>
      </w:divBdr>
    </w:div>
    <w:div w:id="190579521">
      <w:bodyDiv w:val="1"/>
      <w:marLeft w:val="0"/>
      <w:marRight w:val="0"/>
      <w:marTop w:val="0"/>
      <w:marBottom w:val="0"/>
      <w:divBdr>
        <w:top w:val="none" w:sz="0" w:space="0" w:color="auto"/>
        <w:left w:val="none" w:sz="0" w:space="0" w:color="auto"/>
        <w:bottom w:val="none" w:sz="0" w:space="0" w:color="auto"/>
        <w:right w:val="none" w:sz="0" w:space="0" w:color="auto"/>
      </w:divBdr>
    </w:div>
    <w:div w:id="205143806">
      <w:bodyDiv w:val="1"/>
      <w:marLeft w:val="0"/>
      <w:marRight w:val="0"/>
      <w:marTop w:val="0"/>
      <w:marBottom w:val="0"/>
      <w:divBdr>
        <w:top w:val="none" w:sz="0" w:space="0" w:color="auto"/>
        <w:left w:val="none" w:sz="0" w:space="0" w:color="auto"/>
        <w:bottom w:val="none" w:sz="0" w:space="0" w:color="auto"/>
        <w:right w:val="none" w:sz="0" w:space="0" w:color="auto"/>
      </w:divBdr>
    </w:div>
    <w:div w:id="227687395">
      <w:bodyDiv w:val="1"/>
      <w:marLeft w:val="0"/>
      <w:marRight w:val="0"/>
      <w:marTop w:val="0"/>
      <w:marBottom w:val="0"/>
      <w:divBdr>
        <w:top w:val="none" w:sz="0" w:space="0" w:color="auto"/>
        <w:left w:val="none" w:sz="0" w:space="0" w:color="auto"/>
        <w:bottom w:val="none" w:sz="0" w:space="0" w:color="auto"/>
        <w:right w:val="none" w:sz="0" w:space="0" w:color="auto"/>
      </w:divBdr>
    </w:div>
    <w:div w:id="378627438">
      <w:bodyDiv w:val="1"/>
      <w:marLeft w:val="0"/>
      <w:marRight w:val="0"/>
      <w:marTop w:val="0"/>
      <w:marBottom w:val="0"/>
      <w:divBdr>
        <w:top w:val="none" w:sz="0" w:space="0" w:color="auto"/>
        <w:left w:val="none" w:sz="0" w:space="0" w:color="auto"/>
        <w:bottom w:val="none" w:sz="0" w:space="0" w:color="auto"/>
        <w:right w:val="none" w:sz="0" w:space="0" w:color="auto"/>
      </w:divBdr>
    </w:div>
    <w:div w:id="386102681">
      <w:bodyDiv w:val="1"/>
      <w:marLeft w:val="0"/>
      <w:marRight w:val="0"/>
      <w:marTop w:val="0"/>
      <w:marBottom w:val="0"/>
      <w:divBdr>
        <w:top w:val="none" w:sz="0" w:space="0" w:color="auto"/>
        <w:left w:val="none" w:sz="0" w:space="0" w:color="auto"/>
        <w:bottom w:val="none" w:sz="0" w:space="0" w:color="auto"/>
        <w:right w:val="none" w:sz="0" w:space="0" w:color="auto"/>
      </w:divBdr>
    </w:div>
    <w:div w:id="399058239">
      <w:bodyDiv w:val="1"/>
      <w:marLeft w:val="0"/>
      <w:marRight w:val="0"/>
      <w:marTop w:val="0"/>
      <w:marBottom w:val="0"/>
      <w:divBdr>
        <w:top w:val="none" w:sz="0" w:space="0" w:color="auto"/>
        <w:left w:val="none" w:sz="0" w:space="0" w:color="auto"/>
        <w:bottom w:val="none" w:sz="0" w:space="0" w:color="auto"/>
        <w:right w:val="none" w:sz="0" w:space="0" w:color="auto"/>
      </w:divBdr>
    </w:div>
    <w:div w:id="400563630">
      <w:bodyDiv w:val="1"/>
      <w:marLeft w:val="0"/>
      <w:marRight w:val="0"/>
      <w:marTop w:val="0"/>
      <w:marBottom w:val="0"/>
      <w:divBdr>
        <w:top w:val="none" w:sz="0" w:space="0" w:color="auto"/>
        <w:left w:val="none" w:sz="0" w:space="0" w:color="auto"/>
        <w:bottom w:val="none" w:sz="0" w:space="0" w:color="auto"/>
        <w:right w:val="none" w:sz="0" w:space="0" w:color="auto"/>
      </w:divBdr>
    </w:div>
    <w:div w:id="401761408">
      <w:bodyDiv w:val="1"/>
      <w:marLeft w:val="0"/>
      <w:marRight w:val="0"/>
      <w:marTop w:val="0"/>
      <w:marBottom w:val="0"/>
      <w:divBdr>
        <w:top w:val="none" w:sz="0" w:space="0" w:color="auto"/>
        <w:left w:val="none" w:sz="0" w:space="0" w:color="auto"/>
        <w:bottom w:val="none" w:sz="0" w:space="0" w:color="auto"/>
        <w:right w:val="none" w:sz="0" w:space="0" w:color="auto"/>
      </w:divBdr>
    </w:div>
    <w:div w:id="416905107">
      <w:bodyDiv w:val="1"/>
      <w:marLeft w:val="0"/>
      <w:marRight w:val="0"/>
      <w:marTop w:val="0"/>
      <w:marBottom w:val="0"/>
      <w:divBdr>
        <w:top w:val="none" w:sz="0" w:space="0" w:color="auto"/>
        <w:left w:val="none" w:sz="0" w:space="0" w:color="auto"/>
        <w:bottom w:val="none" w:sz="0" w:space="0" w:color="auto"/>
        <w:right w:val="none" w:sz="0" w:space="0" w:color="auto"/>
      </w:divBdr>
    </w:div>
    <w:div w:id="419982482">
      <w:bodyDiv w:val="1"/>
      <w:marLeft w:val="0"/>
      <w:marRight w:val="0"/>
      <w:marTop w:val="0"/>
      <w:marBottom w:val="0"/>
      <w:divBdr>
        <w:top w:val="none" w:sz="0" w:space="0" w:color="auto"/>
        <w:left w:val="none" w:sz="0" w:space="0" w:color="auto"/>
        <w:bottom w:val="none" w:sz="0" w:space="0" w:color="auto"/>
        <w:right w:val="none" w:sz="0" w:space="0" w:color="auto"/>
      </w:divBdr>
    </w:div>
    <w:div w:id="451097973">
      <w:bodyDiv w:val="1"/>
      <w:marLeft w:val="0"/>
      <w:marRight w:val="0"/>
      <w:marTop w:val="0"/>
      <w:marBottom w:val="0"/>
      <w:divBdr>
        <w:top w:val="none" w:sz="0" w:space="0" w:color="auto"/>
        <w:left w:val="none" w:sz="0" w:space="0" w:color="auto"/>
        <w:bottom w:val="none" w:sz="0" w:space="0" w:color="auto"/>
        <w:right w:val="none" w:sz="0" w:space="0" w:color="auto"/>
      </w:divBdr>
    </w:div>
    <w:div w:id="524757783">
      <w:bodyDiv w:val="1"/>
      <w:marLeft w:val="0"/>
      <w:marRight w:val="0"/>
      <w:marTop w:val="0"/>
      <w:marBottom w:val="0"/>
      <w:divBdr>
        <w:top w:val="none" w:sz="0" w:space="0" w:color="auto"/>
        <w:left w:val="none" w:sz="0" w:space="0" w:color="auto"/>
        <w:bottom w:val="none" w:sz="0" w:space="0" w:color="auto"/>
        <w:right w:val="none" w:sz="0" w:space="0" w:color="auto"/>
      </w:divBdr>
    </w:div>
    <w:div w:id="592320427">
      <w:bodyDiv w:val="1"/>
      <w:marLeft w:val="0"/>
      <w:marRight w:val="0"/>
      <w:marTop w:val="0"/>
      <w:marBottom w:val="0"/>
      <w:divBdr>
        <w:top w:val="none" w:sz="0" w:space="0" w:color="auto"/>
        <w:left w:val="none" w:sz="0" w:space="0" w:color="auto"/>
        <w:bottom w:val="none" w:sz="0" w:space="0" w:color="auto"/>
        <w:right w:val="none" w:sz="0" w:space="0" w:color="auto"/>
      </w:divBdr>
    </w:div>
    <w:div w:id="630212771">
      <w:bodyDiv w:val="1"/>
      <w:marLeft w:val="0"/>
      <w:marRight w:val="0"/>
      <w:marTop w:val="0"/>
      <w:marBottom w:val="0"/>
      <w:divBdr>
        <w:top w:val="none" w:sz="0" w:space="0" w:color="auto"/>
        <w:left w:val="none" w:sz="0" w:space="0" w:color="auto"/>
        <w:bottom w:val="none" w:sz="0" w:space="0" w:color="auto"/>
        <w:right w:val="none" w:sz="0" w:space="0" w:color="auto"/>
      </w:divBdr>
    </w:div>
    <w:div w:id="633559735">
      <w:bodyDiv w:val="1"/>
      <w:marLeft w:val="0"/>
      <w:marRight w:val="0"/>
      <w:marTop w:val="0"/>
      <w:marBottom w:val="0"/>
      <w:divBdr>
        <w:top w:val="none" w:sz="0" w:space="0" w:color="auto"/>
        <w:left w:val="none" w:sz="0" w:space="0" w:color="auto"/>
        <w:bottom w:val="none" w:sz="0" w:space="0" w:color="auto"/>
        <w:right w:val="none" w:sz="0" w:space="0" w:color="auto"/>
      </w:divBdr>
    </w:div>
    <w:div w:id="693268079">
      <w:bodyDiv w:val="1"/>
      <w:marLeft w:val="0"/>
      <w:marRight w:val="0"/>
      <w:marTop w:val="0"/>
      <w:marBottom w:val="0"/>
      <w:divBdr>
        <w:top w:val="none" w:sz="0" w:space="0" w:color="auto"/>
        <w:left w:val="none" w:sz="0" w:space="0" w:color="auto"/>
        <w:bottom w:val="none" w:sz="0" w:space="0" w:color="auto"/>
        <w:right w:val="none" w:sz="0" w:space="0" w:color="auto"/>
      </w:divBdr>
    </w:div>
    <w:div w:id="744574717">
      <w:bodyDiv w:val="1"/>
      <w:marLeft w:val="0"/>
      <w:marRight w:val="0"/>
      <w:marTop w:val="0"/>
      <w:marBottom w:val="0"/>
      <w:divBdr>
        <w:top w:val="none" w:sz="0" w:space="0" w:color="auto"/>
        <w:left w:val="none" w:sz="0" w:space="0" w:color="auto"/>
        <w:bottom w:val="none" w:sz="0" w:space="0" w:color="auto"/>
        <w:right w:val="none" w:sz="0" w:space="0" w:color="auto"/>
      </w:divBdr>
    </w:div>
    <w:div w:id="755052159">
      <w:bodyDiv w:val="1"/>
      <w:marLeft w:val="0"/>
      <w:marRight w:val="0"/>
      <w:marTop w:val="0"/>
      <w:marBottom w:val="0"/>
      <w:divBdr>
        <w:top w:val="none" w:sz="0" w:space="0" w:color="auto"/>
        <w:left w:val="none" w:sz="0" w:space="0" w:color="auto"/>
        <w:bottom w:val="none" w:sz="0" w:space="0" w:color="auto"/>
        <w:right w:val="none" w:sz="0" w:space="0" w:color="auto"/>
      </w:divBdr>
    </w:div>
    <w:div w:id="768162635">
      <w:bodyDiv w:val="1"/>
      <w:marLeft w:val="0"/>
      <w:marRight w:val="0"/>
      <w:marTop w:val="0"/>
      <w:marBottom w:val="0"/>
      <w:divBdr>
        <w:top w:val="none" w:sz="0" w:space="0" w:color="auto"/>
        <w:left w:val="none" w:sz="0" w:space="0" w:color="auto"/>
        <w:bottom w:val="none" w:sz="0" w:space="0" w:color="auto"/>
        <w:right w:val="none" w:sz="0" w:space="0" w:color="auto"/>
      </w:divBdr>
    </w:div>
    <w:div w:id="901067187">
      <w:bodyDiv w:val="1"/>
      <w:marLeft w:val="0"/>
      <w:marRight w:val="0"/>
      <w:marTop w:val="0"/>
      <w:marBottom w:val="0"/>
      <w:divBdr>
        <w:top w:val="none" w:sz="0" w:space="0" w:color="auto"/>
        <w:left w:val="none" w:sz="0" w:space="0" w:color="auto"/>
        <w:bottom w:val="none" w:sz="0" w:space="0" w:color="auto"/>
        <w:right w:val="none" w:sz="0" w:space="0" w:color="auto"/>
      </w:divBdr>
    </w:div>
    <w:div w:id="927271609">
      <w:bodyDiv w:val="1"/>
      <w:marLeft w:val="0"/>
      <w:marRight w:val="0"/>
      <w:marTop w:val="0"/>
      <w:marBottom w:val="0"/>
      <w:divBdr>
        <w:top w:val="none" w:sz="0" w:space="0" w:color="auto"/>
        <w:left w:val="none" w:sz="0" w:space="0" w:color="auto"/>
        <w:bottom w:val="none" w:sz="0" w:space="0" w:color="auto"/>
        <w:right w:val="none" w:sz="0" w:space="0" w:color="auto"/>
      </w:divBdr>
    </w:div>
    <w:div w:id="933131988">
      <w:bodyDiv w:val="1"/>
      <w:marLeft w:val="0"/>
      <w:marRight w:val="0"/>
      <w:marTop w:val="0"/>
      <w:marBottom w:val="0"/>
      <w:divBdr>
        <w:top w:val="none" w:sz="0" w:space="0" w:color="auto"/>
        <w:left w:val="none" w:sz="0" w:space="0" w:color="auto"/>
        <w:bottom w:val="none" w:sz="0" w:space="0" w:color="auto"/>
        <w:right w:val="none" w:sz="0" w:space="0" w:color="auto"/>
      </w:divBdr>
    </w:div>
    <w:div w:id="967929375">
      <w:bodyDiv w:val="1"/>
      <w:marLeft w:val="0"/>
      <w:marRight w:val="0"/>
      <w:marTop w:val="0"/>
      <w:marBottom w:val="0"/>
      <w:divBdr>
        <w:top w:val="none" w:sz="0" w:space="0" w:color="auto"/>
        <w:left w:val="none" w:sz="0" w:space="0" w:color="auto"/>
        <w:bottom w:val="none" w:sz="0" w:space="0" w:color="auto"/>
        <w:right w:val="none" w:sz="0" w:space="0" w:color="auto"/>
      </w:divBdr>
    </w:div>
    <w:div w:id="1003358090">
      <w:bodyDiv w:val="1"/>
      <w:marLeft w:val="0"/>
      <w:marRight w:val="0"/>
      <w:marTop w:val="0"/>
      <w:marBottom w:val="0"/>
      <w:divBdr>
        <w:top w:val="none" w:sz="0" w:space="0" w:color="auto"/>
        <w:left w:val="none" w:sz="0" w:space="0" w:color="auto"/>
        <w:bottom w:val="none" w:sz="0" w:space="0" w:color="auto"/>
        <w:right w:val="none" w:sz="0" w:space="0" w:color="auto"/>
      </w:divBdr>
    </w:div>
    <w:div w:id="1126505147">
      <w:bodyDiv w:val="1"/>
      <w:marLeft w:val="0"/>
      <w:marRight w:val="0"/>
      <w:marTop w:val="0"/>
      <w:marBottom w:val="0"/>
      <w:divBdr>
        <w:top w:val="none" w:sz="0" w:space="0" w:color="auto"/>
        <w:left w:val="none" w:sz="0" w:space="0" w:color="auto"/>
        <w:bottom w:val="none" w:sz="0" w:space="0" w:color="auto"/>
        <w:right w:val="none" w:sz="0" w:space="0" w:color="auto"/>
      </w:divBdr>
    </w:div>
    <w:div w:id="1130972864">
      <w:bodyDiv w:val="1"/>
      <w:marLeft w:val="0"/>
      <w:marRight w:val="0"/>
      <w:marTop w:val="0"/>
      <w:marBottom w:val="0"/>
      <w:divBdr>
        <w:top w:val="none" w:sz="0" w:space="0" w:color="auto"/>
        <w:left w:val="none" w:sz="0" w:space="0" w:color="auto"/>
        <w:bottom w:val="none" w:sz="0" w:space="0" w:color="auto"/>
        <w:right w:val="none" w:sz="0" w:space="0" w:color="auto"/>
      </w:divBdr>
    </w:div>
    <w:div w:id="1215652868">
      <w:bodyDiv w:val="1"/>
      <w:marLeft w:val="0"/>
      <w:marRight w:val="0"/>
      <w:marTop w:val="0"/>
      <w:marBottom w:val="0"/>
      <w:divBdr>
        <w:top w:val="none" w:sz="0" w:space="0" w:color="auto"/>
        <w:left w:val="none" w:sz="0" w:space="0" w:color="auto"/>
        <w:bottom w:val="none" w:sz="0" w:space="0" w:color="auto"/>
        <w:right w:val="none" w:sz="0" w:space="0" w:color="auto"/>
      </w:divBdr>
    </w:div>
    <w:div w:id="1281375782">
      <w:bodyDiv w:val="1"/>
      <w:marLeft w:val="0"/>
      <w:marRight w:val="0"/>
      <w:marTop w:val="0"/>
      <w:marBottom w:val="0"/>
      <w:divBdr>
        <w:top w:val="none" w:sz="0" w:space="0" w:color="auto"/>
        <w:left w:val="none" w:sz="0" w:space="0" w:color="auto"/>
        <w:bottom w:val="none" w:sz="0" w:space="0" w:color="auto"/>
        <w:right w:val="none" w:sz="0" w:space="0" w:color="auto"/>
      </w:divBdr>
    </w:div>
    <w:div w:id="1375427905">
      <w:bodyDiv w:val="1"/>
      <w:marLeft w:val="0"/>
      <w:marRight w:val="0"/>
      <w:marTop w:val="0"/>
      <w:marBottom w:val="0"/>
      <w:divBdr>
        <w:top w:val="none" w:sz="0" w:space="0" w:color="auto"/>
        <w:left w:val="none" w:sz="0" w:space="0" w:color="auto"/>
        <w:bottom w:val="none" w:sz="0" w:space="0" w:color="auto"/>
        <w:right w:val="none" w:sz="0" w:space="0" w:color="auto"/>
      </w:divBdr>
    </w:div>
    <w:div w:id="1412119104">
      <w:bodyDiv w:val="1"/>
      <w:marLeft w:val="0"/>
      <w:marRight w:val="0"/>
      <w:marTop w:val="0"/>
      <w:marBottom w:val="0"/>
      <w:divBdr>
        <w:top w:val="none" w:sz="0" w:space="0" w:color="auto"/>
        <w:left w:val="none" w:sz="0" w:space="0" w:color="auto"/>
        <w:bottom w:val="none" w:sz="0" w:space="0" w:color="auto"/>
        <w:right w:val="none" w:sz="0" w:space="0" w:color="auto"/>
      </w:divBdr>
    </w:div>
    <w:div w:id="1509560196">
      <w:bodyDiv w:val="1"/>
      <w:marLeft w:val="0"/>
      <w:marRight w:val="0"/>
      <w:marTop w:val="0"/>
      <w:marBottom w:val="0"/>
      <w:divBdr>
        <w:top w:val="none" w:sz="0" w:space="0" w:color="auto"/>
        <w:left w:val="none" w:sz="0" w:space="0" w:color="auto"/>
        <w:bottom w:val="none" w:sz="0" w:space="0" w:color="auto"/>
        <w:right w:val="none" w:sz="0" w:space="0" w:color="auto"/>
      </w:divBdr>
    </w:div>
    <w:div w:id="1607424155">
      <w:bodyDiv w:val="1"/>
      <w:marLeft w:val="0"/>
      <w:marRight w:val="0"/>
      <w:marTop w:val="0"/>
      <w:marBottom w:val="0"/>
      <w:divBdr>
        <w:top w:val="none" w:sz="0" w:space="0" w:color="auto"/>
        <w:left w:val="none" w:sz="0" w:space="0" w:color="auto"/>
        <w:bottom w:val="none" w:sz="0" w:space="0" w:color="auto"/>
        <w:right w:val="none" w:sz="0" w:space="0" w:color="auto"/>
      </w:divBdr>
    </w:div>
    <w:div w:id="1616935708">
      <w:bodyDiv w:val="1"/>
      <w:marLeft w:val="0"/>
      <w:marRight w:val="0"/>
      <w:marTop w:val="0"/>
      <w:marBottom w:val="0"/>
      <w:divBdr>
        <w:top w:val="none" w:sz="0" w:space="0" w:color="auto"/>
        <w:left w:val="none" w:sz="0" w:space="0" w:color="auto"/>
        <w:bottom w:val="none" w:sz="0" w:space="0" w:color="auto"/>
        <w:right w:val="none" w:sz="0" w:space="0" w:color="auto"/>
      </w:divBdr>
    </w:div>
    <w:div w:id="1653675524">
      <w:bodyDiv w:val="1"/>
      <w:marLeft w:val="0"/>
      <w:marRight w:val="0"/>
      <w:marTop w:val="0"/>
      <w:marBottom w:val="0"/>
      <w:divBdr>
        <w:top w:val="none" w:sz="0" w:space="0" w:color="auto"/>
        <w:left w:val="none" w:sz="0" w:space="0" w:color="auto"/>
        <w:bottom w:val="none" w:sz="0" w:space="0" w:color="auto"/>
        <w:right w:val="none" w:sz="0" w:space="0" w:color="auto"/>
      </w:divBdr>
    </w:div>
    <w:div w:id="1712922761">
      <w:bodyDiv w:val="1"/>
      <w:marLeft w:val="0"/>
      <w:marRight w:val="0"/>
      <w:marTop w:val="0"/>
      <w:marBottom w:val="0"/>
      <w:divBdr>
        <w:top w:val="none" w:sz="0" w:space="0" w:color="auto"/>
        <w:left w:val="none" w:sz="0" w:space="0" w:color="auto"/>
        <w:bottom w:val="none" w:sz="0" w:space="0" w:color="auto"/>
        <w:right w:val="none" w:sz="0" w:space="0" w:color="auto"/>
      </w:divBdr>
    </w:div>
    <w:div w:id="1729499792">
      <w:bodyDiv w:val="1"/>
      <w:marLeft w:val="0"/>
      <w:marRight w:val="0"/>
      <w:marTop w:val="0"/>
      <w:marBottom w:val="0"/>
      <w:divBdr>
        <w:top w:val="none" w:sz="0" w:space="0" w:color="auto"/>
        <w:left w:val="none" w:sz="0" w:space="0" w:color="auto"/>
        <w:bottom w:val="none" w:sz="0" w:space="0" w:color="auto"/>
        <w:right w:val="none" w:sz="0" w:space="0" w:color="auto"/>
      </w:divBdr>
    </w:div>
    <w:div w:id="1743676169">
      <w:bodyDiv w:val="1"/>
      <w:marLeft w:val="0"/>
      <w:marRight w:val="0"/>
      <w:marTop w:val="0"/>
      <w:marBottom w:val="0"/>
      <w:divBdr>
        <w:top w:val="none" w:sz="0" w:space="0" w:color="auto"/>
        <w:left w:val="none" w:sz="0" w:space="0" w:color="auto"/>
        <w:bottom w:val="none" w:sz="0" w:space="0" w:color="auto"/>
        <w:right w:val="none" w:sz="0" w:space="0" w:color="auto"/>
      </w:divBdr>
    </w:div>
    <w:div w:id="1750494324">
      <w:bodyDiv w:val="1"/>
      <w:marLeft w:val="0"/>
      <w:marRight w:val="0"/>
      <w:marTop w:val="0"/>
      <w:marBottom w:val="0"/>
      <w:divBdr>
        <w:top w:val="none" w:sz="0" w:space="0" w:color="auto"/>
        <w:left w:val="none" w:sz="0" w:space="0" w:color="auto"/>
        <w:bottom w:val="none" w:sz="0" w:space="0" w:color="auto"/>
        <w:right w:val="none" w:sz="0" w:space="0" w:color="auto"/>
      </w:divBdr>
    </w:div>
    <w:div w:id="1777864697">
      <w:bodyDiv w:val="1"/>
      <w:marLeft w:val="0"/>
      <w:marRight w:val="0"/>
      <w:marTop w:val="0"/>
      <w:marBottom w:val="0"/>
      <w:divBdr>
        <w:top w:val="none" w:sz="0" w:space="0" w:color="auto"/>
        <w:left w:val="none" w:sz="0" w:space="0" w:color="auto"/>
        <w:bottom w:val="none" w:sz="0" w:space="0" w:color="auto"/>
        <w:right w:val="none" w:sz="0" w:space="0" w:color="auto"/>
      </w:divBdr>
    </w:div>
    <w:div w:id="1837115281">
      <w:bodyDiv w:val="1"/>
      <w:marLeft w:val="0"/>
      <w:marRight w:val="0"/>
      <w:marTop w:val="0"/>
      <w:marBottom w:val="0"/>
      <w:divBdr>
        <w:top w:val="none" w:sz="0" w:space="0" w:color="auto"/>
        <w:left w:val="none" w:sz="0" w:space="0" w:color="auto"/>
        <w:bottom w:val="none" w:sz="0" w:space="0" w:color="auto"/>
        <w:right w:val="none" w:sz="0" w:space="0" w:color="auto"/>
      </w:divBdr>
    </w:div>
    <w:div w:id="1851292196">
      <w:bodyDiv w:val="1"/>
      <w:marLeft w:val="0"/>
      <w:marRight w:val="0"/>
      <w:marTop w:val="0"/>
      <w:marBottom w:val="0"/>
      <w:divBdr>
        <w:top w:val="none" w:sz="0" w:space="0" w:color="auto"/>
        <w:left w:val="none" w:sz="0" w:space="0" w:color="auto"/>
        <w:bottom w:val="none" w:sz="0" w:space="0" w:color="auto"/>
        <w:right w:val="none" w:sz="0" w:space="0" w:color="auto"/>
      </w:divBdr>
    </w:div>
    <w:div w:id="1867256568">
      <w:bodyDiv w:val="1"/>
      <w:marLeft w:val="0"/>
      <w:marRight w:val="0"/>
      <w:marTop w:val="0"/>
      <w:marBottom w:val="0"/>
      <w:divBdr>
        <w:top w:val="none" w:sz="0" w:space="0" w:color="auto"/>
        <w:left w:val="none" w:sz="0" w:space="0" w:color="auto"/>
        <w:bottom w:val="none" w:sz="0" w:space="0" w:color="auto"/>
        <w:right w:val="none" w:sz="0" w:space="0" w:color="auto"/>
      </w:divBdr>
    </w:div>
    <w:div w:id="1918633694">
      <w:bodyDiv w:val="1"/>
      <w:marLeft w:val="0"/>
      <w:marRight w:val="0"/>
      <w:marTop w:val="0"/>
      <w:marBottom w:val="0"/>
      <w:divBdr>
        <w:top w:val="none" w:sz="0" w:space="0" w:color="auto"/>
        <w:left w:val="none" w:sz="0" w:space="0" w:color="auto"/>
        <w:bottom w:val="none" w:sz="0" w:space="0" w:color="auto"/>
        <w:right w:val="none" w:sz="0" w:space="0" w:color="auto"/>
      </w:divBdr>
    </w:div>
    <w:div w:id="1932935341">
      <w:bodyDiv w:val="1"/>
      <w:marLeft w:val="0"/>
      <w:marRight w:val="0"/>
      <w:marTop w:val="0"/>
      <w:marBottom w:val="0"/>
      <w:divBdr>
        <w:top w:val="none" w:sz="0" w:space="0" w:color="auto"/>
        <w:left w:val="none" w:sz="0" w:space="0" w:color="auto"/>
        <w:bottom w:val="none" w:sz="0" w:space="0" w:color="auto"/>
        <w:right w:val="none" w:sz="0" w:space="0" w:color="auto"/>
      </w:divBdr>
    </w:div>
    <w:div w:id="1956909275">
      <w:bodyDiv w:val="1"/>
      <w:marLeft w:val="0"/>
      <w:marRight w:val="0"/>
      <w:marTop w:val="0"/>
      <w:marBottom w:val="0"/>
      <w:divBdr>
        <w:top w:val="none" w:sz="0" w:space="0" w:color="auto"/>
        <w:left w:val="none" w:sz="0" w:space="0" w:color="auto"/>
        <w:bottom w:val="none" w:sz="0" w:space="0" w:color="auto"/>
        <w:right w:val="none" w:sz="0" w:space="0" w:color="auto"/>
      </w:divBdr>
      <w:divsChild>
        <w:div w:id="318926198">
          <w:marLeft w:val="0"/>
          <w:marRight w:val="0"/>
          <w:marTop w:val="0"/>
          <w:marBottom w:val="0"/>
          <w:divBdr>
            <w:top w:val="none" w:sz="0" w:space="0" w:color="auto"/>
            <w:left w:val="none" w:sz="0" w:space="0" w:color="auto"/>
            <w:bottom w:val="none" w:sz="0" w:space="0" w:color="auto"/>
            <w:right w:val="none" w:sz="0" w:space="0" w:color="auto"/>
          </w:divBdr>
        </w:div>
      </w:divsChild>
    </w:div>
    <w:div w:id="2030444226">
      <w:bodyDiv w:val="1"/>
      <w:marLeft w:val="0"/>
      <w:marRight w:val="0"/>
      <w:marTop w:val="0"/>
      <w:marBottom w:val="0"/>
      <w:divBdr>
        <w:top w:val="none" w:sz="0" w:space="0" w:color="auto"/>
        <w:left w:val="none" w:sz="0" w:space="0" w:color="auto"/>
        <w:bottom w:val="none" w:sz="0" w:space="0" w:color="auto"/>
        <w:right w:val="none" w:sz="0" w:space="0" w:color="auto"/>
      </w:divBdr>
    </w:div>
    <w:div w:id="2044285923">
      <w:bodyDiv w:val="1"/>
      <w:marLeft w:val="0"/>
      <w:marRight w:val="0"/>
      <w:marTop w:val="0"/>
      <w:marBottom w:val="0"/>
      <w:divBdr>
        <w:top w:val="none" w:sz="0" w:space="0" w:color="auto"/>
        <w:left w:val="none" w:sz="0" w:space="0" w:color="auto"/>
        <w:bottom w:val="none" w:sz="0" w:space="0" w:color="auto"/>
        <w:right w:val="none" w:sz="0" w:space="0" w:color="auto"/>
      </w:divBdr>
    </w:div>
    <w:div w:id="2101364184">
      <w:bodyDiv w:val="1"/>
      <w:marLeft w:val="0"/>
      <w:marRight w:val="0"/>
      <w:marTop w:val="0"/>
      <w:marBottom w:val="0"/>
      <w:divBdr>
        <w:top w:val="none" w:sz="0" w:space="0" w:color="auto"/>
        <w:left w:val="none" w:sz="0" w:space="0" w:color="auto"/>
        <w:bottom w:val="none" w:sz="0" w:space="0" w:color="auto"/>
        <w:right w:val="none" w:sz="0" w:space="0" w:color="auto"/>
      </w:divBdr>
    </w:div>
    <w:div w:id="21109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gif"/><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1.png@01D28D20.CF9FEC40" TargetMode="Externa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hyperlink" Target="https://tradingeconomics.com/antigua-and-barbuda/gdp-per-capit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www.Cari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radingeconomics.com/antigua-and-barbuda/gdp-per-capita" TargetMode="External"/><Relationship Id="rId1" Type="http://schemas.openxmlformats.org/officeDocument/2006/relationships/hyperlink" Target="http://www.domlec.dm/index.php/ou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IRC%20Work\Benchmarking\Proposed%20Benchmark%20Parameters%20for%20DOMLEC%20Actu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RC%20Work\Benchmarking\Proposed%20Benchmark%20Parameters%20for%20DOMLEC%20Actu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IRC%20Work\Benchmarking\Proposed%20Benchmark%20Parameters%20for%20DOMLEC%20Actu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IRC%20Work\Benchmarking\Proposed%20Benchmark%20Parameters%20for%20DOMLEC%20Actu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RC%20Work\Benchmarking\Proposed%20Benchmark%20Parameters%20for%20DOMLEC%20Actu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1 - Total Installed Generation (kW)</a:t>
            </a:r>
          </a:p>
        </c:rich>
      </c:tx>
      <c:layout>
        <c:manualLayout>
          <c:xMode val="edge"/>
          <c:yMode val="edge"/>
          <c:x val="0.15552668987059542"/>
          <c:y val="4.4989127205871574E-2"/>
        </c:manualLayout>
      </c:layout>
    </c:title>
    <c:plotArea>
      <c:layout/>
      <c:lineChart>
        <c:grouping val="standard"/>
        <c:ser>
          <c:idx val="0"/>
          <c:order val="0"/>
          <c:tx>
            <c:v>Total Installed Generation (kW)</c:v>
          </c:tx>
          <c:marker>
            <c:symbol val="none"/>
          </c:marker>
          <c:dLbls>
            <c:txPr>
              <a:bodyPr/>
              <a:lstStyle/>
              <a:p>
                <a:pPr>
                  <a:defRPr sz="660" baseline="0"/>
                </a:pPr>
                <a:endParaRPr lang="en-US"/>
              </a:p>
            </c:txPr>
            <c:dLblPos val="b"/>
            <c:showVal val="1"/>
          </c:dLbls>
          <c:cat>
            <c:numRef>
              <c:f>Generation!$C$2:$G$2</c:f>
              <c:numCache>
                <c:formatCode>General</c:formatCode>
                <c:ptCount val="5"/>
                <c:pt idx="0">
                  <c:v>2012</c:v>
                </c:pt>
                <c:pt idx="1">
                  <c:v>2013</c:v>
                </c:pt>
                <c:pt idx="2">
                  <c:v>2014</c:v>
                </c:pt>
                <c:pt idx="3">
                  <c:v>2015</c:v>
                </c:pt>
                <c:pt idx="4">
                  <c:v>2016</c:v>
                </c:pt>
              </c:numCache>
            </c:numRef>
          </c:cat>
          <c:val>
            <c:numRef>
              <c:f>Generation!$C$6:$G$6</c:f>
              <c:numCache>
                <c:formatCode>#,##0</c:formatCode>
                <c:ptCount val="5"/>
                <c:pt idx="0">
                  <c:v>27103.919999999896</c:v>
                </c:pt>
                <c:pt idx="1">
                  <c:v>27248.52</c:v>
                </c:pt>
                <c:pt idx="2">
                  <c:v>27380.52</c:v>
                </c:pt>
                <c:pt idx="3">
                  <c:v>27758.82</c:v>
                </c:pt>
                <c:pt idx="4">
                  <c:v>28137.119999999319</c:v>
                </c:pt>
              </c:numCache>
            </c:numRef>
          </c:val>
        </c:ser>
        <c:marker val="1"/>
        <c:axId val="121084928"/>
        <c:axId val="121090816"/>
      </c:lineChart>
      <c:catAx>
        <c:axId val="121084928"/>
        <c:scaling>
          <c:orientation val="minMax"/>
        </c:scaling>
        <c:axPos val="b"/>
        <c:numFmt formatCode="General" sourceLinked="1"/>
        <c:tickLblPos val="nextTo"/>
        <c:crossAx val="121090816"/>
        <c:crosses val="autoZero"/>
        <c:auto val="1"/>
        <c:lblAlgn val="ctr"/>
        <c:lblOffset val="100"/>
      </c:catAx>
      <c:valAx>
        <c:axId val="121090816"/>
        <c:scaling>
          <c:orientation val="minMax"/>
        </c:scaling>
        <c:axPos val="l"/>
        <c:majorGridlines/>
        <c:numFmt formatCode="#,##0" sourceLinked="1"/>
        <c:tickLblPos val="nextTo"/>
        <c:crossAx val="121084928"/>
        <c:crosses val="autoZero"/>
        <c:crossBetween val="between"/>
      </c:valAx>
    </c:plotArea>
    <c:legend>
      <c:legendPos val="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Figure 8 - System</a:t>
            </a:r>
            <a:r>
              <a:rPr lang="en-US" sz="1200" baseline="0">
                <a:latin typeface="Times New Roman" pitchFamily="18" charset="0"/>
                <a:cs typeface="Times New Roman" pitchFamily="18" charset="0"/>
              </a:rPr>
              <a:t> Losses in Percentages</a:t>
            </a:r>
            <a:endParaRPr lang="en-US" sz="1200">
              <a:latin typeface="Times New Roman" pitchFamily="18" charset="0"/>
              <a:cs typeface="Times New Roman" pitchFamily="18" charset="0"/>
            </a:endParaRPr>
          </a:p>
        </c:rich>
      </c:tx>
    </c:title>
    <c:plotArea>
      <c:layout/>
      <c:lineChart>
        <c:grouping val="standard"/>
        <c:ser>
          <c:idx val="0"/>
          <c:order val="0"/>
          <c:tx>
            <c:v>Network Delivery Losses</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LV'!$C$28:$G$28</c:f>
              <c:numCache>
                <c:formatCode>#,##0.00</c:formatCode>
                <c:ptCount val="5"/>
                <c:pt idx="0">
                  <c:v>8.8033912975930217</c:v>
                </c:pt>
                <c:pt idx="1">
                  <c:v>8.9345078856938187</c:v>
                </c:pt>
                <c:pt idx="2">
                  <c:v>8.7748743939094709</c:v>
                </c:pt>
                <c:pt idx="3">
                  <c:v>8.6016975926198942</c:v>
                </c:pt>
                <c:pt idx="4">
                  <c:v>9.2781534250983189</c:v>
                </c:pt>
              </c:numCache>
            </c:numRef>
          </c:val>
        </c:ser>
        <c:ser>
          <c:idx val="1"/>
          <c:order val="1"/>
          <c:tx>
            <c:v>Distribution Losses</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LV'!$B$29:$F$29</c:f>
              <c:numCache>
                <c:formatCode>0.00</c:formatCode>
                <c:ptCount val="5"/>
                <c:pt idx="0">
                  <c:v>8.3456903157748208</c:v>
                </c:pt>
                <c:pt idx="1">
                  <c:v>7.8025415060193355</c:v>
                </c:pt>
                <c:pt idx="2">
                  <c:v>7.9224233762108875</c:v>
                </c:pt>
                <c:pt idx="3">
                  <c:v>7.7996411716527376</c:v>
                </c:pt>
                <c:pt idx="4">
                  <c:v>7.6276567927981782</c:v>
                </c:pt>
              </c:numCache>
            </c:numRef>
          </c:val>
        </c:ser>
        <c:marker val="1"/>
        <c:axId val="121524608"/>
        <c:axId val="121526144"/>
      </c:lineChart>
      <c:catAx>
        <c:axId val="121524608"/>
        <c:scaling>
          <c:orientation val="minMax"/>
        </c:scaling>
        <c:axPos val="b"/>
        <c:numFmt formatCode="General" sourceLinked="1"/>
        <c:majorTickMark val="none"/>
        <c:tickLblPos val="nextTo"/>
        <c:crossAx val="121526144"/>
        <c:crosses val="autoZero"/>
        <c:auto val="1"/>
        <c:lblAlgn val="ctr"/>
        <c:lblOffset val="100"/>
      </c:catAx>
      <c:valAx>
        <c:axId val="121526144"/>
        <c:scaling>
          <c:orientation val="minMax"/>
          <c:min val="7"/>
        </c:scaling>
        <c:axPos val="l"/>
        <c:majorGridlines/>
        <c:title>
          <c:tx>
            <c:rich>
              <a:bodyPr/>
              <a:lstStyle/>
              <a:p>
                <a:pPr>
                  <a:defRPr/>
                </a:pPr>
                <a:r>
                  <a:rPr lang="en-US"/>
                  <a:t>Percentages</a:t>
                </a:r>
              </a:p>
            </c:rich>
          </c:tx>
          <c:layout>
            <c:manualLayout>
              <c:xMode val="edge"/>
              <c:yMode val="edge"/>
              <c:x val="0.18055555555555555"/>
              <c:y val="0.32182513809978613"/>
            </c:manualLayout>
          </c:layout>
        </c:title>
        <c:numFmt formatCode="#,##0.00" sourceLinked="1"/>
        <c:majorTickMark val="none"/>
        <c:tickLblPos val="nextTo"/>
        <c:crossAx val="121524608"/>
        <c:crosses val="autoZero"/>
        <c:crossBetween val="between"/>
      </c:valAx>
      <c:dTable>
        <c:showHorzBorder val="1"/>
        <c:showVertBorder val="1"/>
        <c:showOutline val="1"/>
        <c:showKeys val="1"/>
      </c:dTable>
    </c:plotArea>
    <c:plotVisOnly val="1"/>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9 - System  Summary Outage Report - Aggregate</a:t>
            </a:r>
          </a:p>
        </c:rich>
      </c:tx>
    </c:title>
    <c:plotArea>
      <c:layout/>
      <c:lineChart>
        <c:grouping val="standard"/>
        <c:ser>
          <c:idx val="0"/>
          <c:order val="0"/>
          <c:tx>
            <c:v>SAIDI - Total</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LV'!$C$27:$G$27</c:f>
              <c:numCache>
                <c:formatCode>General</c:formatCode>
                <c:ptCount val="5"/>
                <c:pt idx="0">
                  <c:v>27.619999999999997</c:v>
                </c:pt>
                <c:pt idx="1">
                  <c:v>15.360000000000024</c:v>
                </c:pt>
                <c:pt idx="2">
                  <c:v>17.240000000000002</c:v>
                </c:pt>
                <c:pt idx="3">
                  <c:v>17.54</c:v>
                </c:pt>
                <c:pt idx="4">
                  <c:v>11.850000000000026</c:v>
                </c:pt>
              </c:numCache>
            </c:numRef>
          </c:val>
        </c:ser>
        <c:ser>
          <c:idx val="1"/>
          <c:order val="1"/>
          <c:tx>
            <c:v>SAIFI - Total</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LV'!$C$28:$G$28</c:f>
              <c:numCache>
                <c:formatCode>General</c:formatCode>
                <c:ptCount val="5"/>
                <c:pt idx="0">
                  <c:v>12.960000000000004</c:v>
                </c:pt>
                <c:pt idx="1">
                  <c:v>9.01</c:v>
                </c:pt>
                <c:pt idx="2">
                  <c:v>8.42</c:v>
                </c:pt>
                <c:pt idx="3">
                  <c:v>8.4</c:v>
                </c:pt>
                <c:pt idx="4">
                  <c:v>5.6199999999999966</c:v>
                </c:pt>
              </c:numCache>
            </c:numRef>
          </c:val>
        </c:ser>
        <c:ser>
          <c:idx val="2"/>
          <c:order val="2"/>
          <c:tx>
            <c:v>CAIDI - Total</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LV'!$C$31:$G$31</c:f>
              <c:numCache>
                <c:formatCode>0.00</c:formatCode>
                <c:ptCount val="5"/>
                <c:pt idx="0">
                  <c:v>2.1311728395061729</c:v>
                </c:pt>
                <c:pt idx="1">
                  <c:v>1.7047724750277469</c:v>
                </c:pt>
                <c:pt idx="2">
                  <c:v>2.0475059382422804</c:v>
                </c:pt>
                <c:pt idx="3">
                  <c:v>2.0880952380952382</c:v>
                </c:pt>
                <c:pt idx="4">
                  <c:v>2.1085409252669041</c:v>
                </c:pt>
              </c:numCache>
            </c:numRef>
          </c:val>
        </c:ser>
        <c:marker val="1"/>
        <c:axId val="122446592"/>
        <c:axId val="122448128"/>
      </c:lineChart>
      <c:catAx>
        <c:axId val="122446592"/>
        <c:scaling>
          <c:orientation val="minMax"/>
        </c:scaling>
        <c:axPos val="b"/>
        <c:numFmt formatCode="General" sourceLinked="1"/>
        <c:majorTickMark val="none"/>
        <c:tickLblPos val="nextTo"/>
        <c:crossAx val="122448128"/>
        <c:crosses val="autoZero"/>
        <c:auto val="1"/>
        <c:lblAlgn val="ctr"/>
        <c:lblOffset val="100"/>
      </c:catAx>
      <c:valAx>
        <c:axId val="122448128"/>
        <c:scaling>
          <c:orientation val="minMax"/>
        </c:scaling>
        <c:axPos val="l"/>
        <c:majorGridlines/>
        <c:title>
          <c:tx>
            <c:rich>
              <a:bodyPr/>
              <a:lstStyle/>
              <a:p>
                <a:pPr>
                  <a:defRPr/>
                </a:pPr>
                <a:r>
                  <a:rPr lang="en-US"/>
                  <a:t>Units</a:t>
                </a:r>
              </a:p>
            </c:rich>
          </c:tx>
          <c:layout>
            <c:manualLayout>
              <c:xMode val="edge"/>
              <c:yMode val="edge"/>
              <c:x val="5.0089439558660812E-2"/>
              <c:y val="0.4314839242487164"/>
            </c:manualLayout>
          </c:layout>
        </c:title>
        <c:numFmt formatCode="General" sourceLinked="1"/>
        <c:majorTickMark val="none"/>
        <c:tickLblPos val="nextTo"/>
        <c:crossAx val="122446592"/>
        <c:crosses val="autoZero"/>
        <c:crossBetween val="between"/>
      </c:valAx>
      <c:dTable>
        <c:showHorzBorder val="1"/>
        <c:showVertBorder val="1"/>
        <c:showOutline val="1"/>
        <c:showKeys val="1"/>
      </c:dTable>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9a  -  System</a:t>
            </a:r>
            <a:r>
              <a:rPr lang="en-US" sz="1200" baseline="0"/>
              <a:t> Outage Report Summary - T&amp;D</a:t>
            </a:r>
            <a:endParaRPr lang="en-US" sz="1200"/>
          </a:p>
        </c:rich>
      </c:tx>
    </c:title>
    <c:plotArea>
      <c:layout/>
      <c:lineChart>
        <c:grouping val="standard"/>
        <c:ser>
          <c:idx val="0"/>
          <c:order val="0"/>
          <c:tx>
            <c:v>SAIDI - T&amp;D</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LV'!$C$23:$G$23</c:f>
              <c:numCache>
                <c:formatCode>General</c:formatCode>
                <c:ptCount val="5"/>
                <c:pt idx="0">
                  <c:v>23.74</c:v>
                </c:pt>
                <c:pt idx="1">
                  <c:v>13.09</c:v>
                </c:pt>
                <c:pt idx="2">
                  <c:v>14.07</c:v>
                </c:pt>
                <c:pt idx="3">
                  <c:v>11.709999999999999</c:v>
                </c:pt>
                <c:pt idx="4">
                  <c:v>8.49</c:v>
                </c:pt>
              </c:numCache>
            </c:numRef>
          </c:val>
        </c:ser>
        <c:ser>
          <c:idx val="1"/>
          <c:order val="1"/>
          <c:tx>
            <c:v>SAIFI - T&amp;D</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LV'!$C$25:$G$25</c:f>
              <c:numCache>
                <c:formatCode>General</c:formatCode>
                <c:ptCount val="5"/>
                <c:pt idx="0">
                  <c:v>10.52</c:v>
                </c:pt>
                <c:pt idx="1">
                  <c:v>7.81</c:v>
                </c:pt>
                <c:pt idx="2">
                  <c:v>6.28</c:v>
                </c:pt>
                <c:pt idx="3">
                  <c:v>5.63</c:v>
                </c:pt>
                <c:pt idx="4">
                  <c:v>4.0599999999999996</c:v>
                </c:pt>
              </c:numCache>
            </c:numRef>
          </c:val>
        </c:ser>
        <c:ser>
          <c:idx val="2"/>
          <c:order val="2"/>
          <c:tx>
            <c:v>CAIDI - T&amp;D</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LV'!$C$29:$G$29</c:f>
              <c:numCache>
                <c:formatCode>#,##0.00</c:formatCode>
                <c:ptCount val="5"/>
                <c:pt idx="0">
                  <c:v>2.2566539923954374</c:v>
                </c:pt>
                <c:pt idx="1">
                  <c:v>1.6760563380281701</c:v>
                </c:pt>
                <c:pt idx="2">
                  <c:v>2.2404458598726116</c:v>
                </c:pt>
                <c:pt idx="3">
                  <c:v>2.079928952042629</c:v>
                </c:pt>
                <c:pt idx="4">
                  <c:v>2.0911330049261085</c:v>
                </c:pt>
              </c:numCache>
            </c:numRef>
          </c:val>
        </c:ser>
        <c:marker val="1"/>
        <c:axId val="124060800"/>
        <c:axId val="124062336"/>
      </c:lineChart>
      <c:catAx>
        <c:axId val="124060800"/>
        <c:scaling>
          <c:orientation val="minMax"/>
        </c:scaling>
        <c:axPos val="b"/>
        <c:numFmt formatCode="General" sourceLinked="1"/>
        <c:majorTickMark val="none"/>
        <c:tickLblPos val="nextTo"/>
        <c:crossAx val="124062336"/>
        <c:crosses val="autoZero"/>
        <c:auto val="1"/>
        <c:lblAlgn val="ctr"/>
        <c:lblOffset val="100"/>
      </c:catAx>
      <c:valAx>
        <c:axId val="124062336"/>
        <c:scaling>
          <c:orientation val="minMax"/>
        </c:scaling>
        <c:axPos val="l"/>
        <c:majorGridlines/>
        <c:title>
          <c:tx>
            <c:rich>
              <a:bodyPr/>
              <a:lstStyle/>
              <a:p>
                <a:pPr>
                  <a:defRPr/>
                </a:pPr>
                <a:r>
                  <a:rPr lang="en-US"/>
                  <a:t>Units</a:t>
                </a:r>
              </a:p>
            </c:rich>
          </c:tx>
        </c:title>
        <c:numFmt formatCode="General" sourceLinked="1"/>
        <c:majorTickMark val="none"/>
        <c:tickLblPos val="nextTo"/>
        <c:crossAx val="124060800"/>
        <c:crosses val="autoZero"/>
        <c:crossBetween val="between"/>
      </c:valAx>
      <c:dTable>
        <c:showHorzBorder val="1"/>
        <c:showVertBorder val="1"/>
        <c:showOutline val="1"/>
        <c:showKeys val="1"/>
      </c:dTable>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t>
            </a:r>
            <a:r>
              <a:rPr lang="en-US" sz="1200"/>
              <a:t>Figure 9b</a:t>
            </a:r>
            <a:r>
              <a:rPr lang="en-US" sz="1200" baseline="0"/>
              <a:t> </a:t>
            </a:r>
            <a:r>
              <a:rPr lang="en-US" baseline="0"/>
              <a:t>- </a:t>
            </a:r>
            <a:r>
              <a:rPr lang="en-US" sz="1200"/>
              <a:t>System</a:t>
            </a:r>
            <a:r>
              <a:rPr lang="en-US" sz="1200" baseline="0"/>
              <a:t> Outage Report Summary - Generation</a:t>
            </a:r>
            <a:r>
              <a:rPr lang="en-US" sz="1200"/>
              <a:t> </a:t>
            </a:r>
          </a:p>
        </c:rich>
      </c:tx>
    </c:title>
    <c:plotArea>
      <c:layout/>
      <c:lineChart>
        <c:grouping val="standard"/>
        <c:ser>
          <c:idx val="0"/>
          <c:order val="0"/>
          <c:tx>
            <c:v>SAIDI - Generation</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LV'!$C$24:$G$24</c:f>
              <c:numCache>
                <c:formatCode>General</c:formatCode>
                <c:ptCount val="5"/>
                <c:pt idx="0">
                  <c:v>3.88</c:v>
                </c:pt>
                <c:pt idx="1">
                  <c:v>2.27</c:v>
                </c:pt>
                <c:pt idx="2">
                  <c:v>3.17</c:v>
                </c:pt>
                <c:pt idx="3">
                  <c:v>5.83</c:v>
                </c:pt>
                <c:pt idx="4">
                  <c:v>3.36</c:v>
                </c:pt>
              </c:numCache>
            </c:numRef>
          </c:val>
        </c:ser>
        <c:ser>
          <c:idx val="1"/>
          <c:order val="1"/>
          <c:tx>
            <c:v>SAIFI - Generation</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LV'!$C$26:$G$26</c:f>
              <c:numCache>
                <c:formatCode>General</c:formatCode>
                <c:ptCount val="5"/>
                <c:pt idx="0">
                  <c:v>2.44</c:v>
                </c:pt>
                <c:pt idx="1">
                  <c:v>1.2</c:v>
                </c:pt>
                <c:pt idx="2">
                  <c:v>2.14</c:v>
                </c:pt>
                <c:pt idx="3">
                  <c:v>2.77</c:v>
                </c:pt>
                <c:pt idx="4">
                  <c:v>1.56</c:v>
                </c:pt>
              </c:numCache>
            </c:numRef>
          </c:val>
        </c:ser>
        <c:ser>
          <c:idx val="2"/>
          <c:order val="2"/>
          <c:tx>
            <c:v>CAIDI - Generation</c:v>
          </c:tx>
          <c:marker>
            <c:symbol val="none"/>
          </c:marker>
          <c:cat>
            <c:numRef>
              <c:f>'Distribution - HV &amp; LV'!$C$2:$G$2</c:f>
              <c:numCache>
                <c:formatCode>General</c:formatCode>
                <c:ptCount val="5"/>
                <c:pt idx="0">
                  <c:v>2012</c:v>
                </c:pt>
                <c:pt idx="1">
                  <c:v>2013</c:v>
                </c:pt>
                <c:pt idx="2">
                  <c:v>2014</c:v>
                </c:pt>
                <c:pt idx="3">
                  <c:v>2015</c:v>
                </c:pt>
                <c:pt idx="4">
                  <c:v>2016</c:v>
                </c:pt>
              </c:numCache>
            </c:numRef>
          </c:cat>
          <c:val>
            <c:numRef>
              <c:f>'Distribution - HV &amp; LV'!$C$30:$G$30</c:f>
              <c:numCache>
                <c:formatCode>#,##0.00</c:formatCode>
                <c:ptCount val="5"/>
                <c:pt idx="0">
                  <c:v>1.590163934426277</c:v>
                </c:pt>
                <c:pt idx="1">
                  <c:v>1.8916666666666668</c:v>
                </c:pt>
                <c:pt idx="2">
                  <c:v>1.4813084112149275</c:v>
                </c:pt>
                <c:pt idx="3">
                  <c:v>2.104693140794224</c:v>
                </c:pt>
                <c:pt idx="4">
                  <c:v>2.1538461538461537</c:v>
                </c:pt>
              </c:numCache>
            </c:numRef>
          </c:val>
        </c:ser>
        <c:marker val="1"/>
        <c:axId val="124089856"/>
        <c:axId val="124091392"/>
      </c:lineChart>
      <c:catAx>
        <c:axId val="124089856"/>
        <c:scaling>
          <c:orientation val="minMax"/>
        </c:scaling>
        <c:axPos val="b"/>
        <c:numFmt formatCode="General" sourceLinked="1"/>
        <c:majorTickMark val="none"/>
        <c:tickLblPos val="nextTo"/>
        <c:crossAx val="124091392"/>
        <c:crosses val="autoZero"/>
        <c:auto val="1"/>
        <c:lblAlgn val="ctr"/>
        <c:lblOffset val="100"/>
      </c:catAx>
      <c:valAx>
        <c:axId val="124091392"/>
        <c:scaling>
          <c:orientation val="minMax"/>
        </c:scaling>
        <c:axPos val="l"/>
        <c:majorGridlines/>
        <c:title>
          <c:tx>
            <c:rich>
              <a:bodyPr/>
              <a:lstStyle/>
              <a:p>
                <a:pPr>
                  <a:defRPr/>
                </a:pPr>
                <a:r>
                  <a:rPr lang="en-US"/>
                  <a:t>Units</a:t>
                </a:r>
              </a:p>
            </c:rich>
          </c:tx>
          <c:layout>
            <c:manualLayout>
              <c:xMode val="edge"/>
              <c:yMode val="edge"/>
              <c:x val="9.566248728689429E-2"/>
              <c:y val="0.39433900098689878"/>
            </c:manualLayout>
          </c:layout>
        </c:title>
        <c:numFmt formatCode="General" sourceLinked="1"/>
        <c:majorTickMark val="none"/>
        <c:tickLblPos val="nextTo"/>
        <c:crossAx val="124089856"/>
        <c:crosses val="autoZero"/>
        <c:crossBetween val="between"/>
      </c:valAx>
      <c:dTable>
        <c:showHorzBorder val="1"/>
        <c:showVertBorder val="1"/>
        <c:showOutline val="1"/>
        <c:showKeys val="1"/>
      </c:dTable>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2 - Distributed</a:t>
            </a:r>
            <a:r>
              <a:rPr lang="en-US" sz="1200" baseline="0"/>
              <a:t> RE Installed Capacity</a:t>
            </a:r>
          </a:p>
          <a:p>
            <a:pPr>
              <a:defRPr/>
            </a:pPr>
            <a:r>
              <a:rPr lang="en-US" sz="1000"/>
              <a:t>w/ percentage increase/decrease over previous year</a:t>
            </a:r>
          </a:p>
        </c:rich>
      </c:tx>
    </c:title>
    <c:plotArea>
      <c:layout/>
      <c:barChart>
        <c:barDir val="col"/>
        <c:grouping val="clustered"/>
        <c:ser>
          <c:idx val="1"/>
          <c:order val="0"/>
          <c:tx>
            <c:v>Distributed RE Generation % Inc./Dec.</c:v>
          </c:tx>
          <c:cat>
            <c:numRef>
              <c:f>Generation!$J$2:$N$2</c:f>
              <c:numCache>
                <c:formatCode>General</c:formatCode>
                <c:ptCount val="5"/>
                <c:pt idx="0">
                  <c:v>2012</c:v>
                </c:pt>
                <c:pt idx="1">
                  <c:v>2013</c:v>
                </c:pt>
                <c:pt idx="2">
                  <c:v>2014</c:v>
                </c:pt>
                <c:pt idx="3">
                  <c:v>2015</c:v>
                </c:pt>
                <c:pt idx="4">
                  <c:v>2016</c:v>
                </c:pt>
              </c:numCache>
            </c:numRef>
          </c:cat>
          <c:val>
            <c:numRef>
              <c:f>Generation!$J$5:$N$5</c:f>
              <c:numCache>
                <c:formatCode>#,##0.00</c:formatCode>
                <c:ptCount val="5"/>
                <c:pt idx="0">
                  <c:v>11.495098039215724</c:v>
                </c:pt>
                <c:pt idx="1">
                  <c:v>39.734007474170156</c:v>
                </c:pt>
                <c:pt idx="2">
                  <c:v>25.957681113820531</c:v>
                </c:pt>
                <c:pt idx="3">
                  <c:v>59.061387622556644</c:v>
                </c:pt>
                <c:pt idx="4">
                  <c:v>37.131190985650065</c:v>
                </c:pt>
              </c:numCache>
            </c:numRef>
          </c:val>
        </c:ser>
        <c:axId val="121102720"/>
        <c:axId val="121104256"/>
      </c:barChart>
      <c:lineChart>
        <c:grouping val="standard"/>
        <c:ser>
          <c:idx val="2"/>
          <c:order val="1"/>
          <c:tx>
            <c:v>Distributed RE Installed Capacity (kW)</c:v>
          </c:tx>
          <c:val>
            <c:numRef>
              <c:f>Generation!$C$5:$G$5</c:f>
              <c:numCache>
                <c:formatCode>#,##0</c:formatCode>
                <c:ptCount val="5"/>
                <c:pt idx="0">
                  <c:v>363.91999999999899</c:v>
                </c:pt>
                <c:pt idx="1">
                  <c:v>508.52</c:v>
                </c:pt>
                <c:pt idx="2">
                  <c:v>640.52</c:v>
                </c:pt>
                <c:pt idx="3">
                  <c:v>1018.8199999999994</c:v>
                </c:pt>
                <c:pt idx="4">
                  <c:v>1397.12</c:v>
                </c:pt>
              </c:numCache>
            </c:numRef>
          </c:val>
        </c:ser>
        <c:marker val="1"/>
        <c:axId val="121102720"/>
        <c:axId val="121104256"/>
      </c:lineChart>
      <c:catAx>
        <c:axId val="121102720"/>
        <c:scaling>
          <c:orientation val="minMax"/>
        </c:scaling>
        <c:axPos val="b"/>
        <c:numFmt formatCode="General" sourceLinked="1"/>
        <c:majorTickMark val="none"/>
        <c:tickLblPos val="nextTo"/>
        <c:crossAx val="121104256"/>
        <c:crosses val="autoZero"/>
        <c:auto val="1"/>
        <c:lblAlgn val="ctr"/>
        <c:lblOffset val="100"/>
      </c:catAx>
      <c:valAx>
        <c:axId val="121104256"/>
        <c:scaling>
          <c:orientation val="minMax"/>
        </c:scaling>
        <c:axPos val="l"/>
        <c:majorGridlines/>
        <c:title>
          <c:tx>
            <c:rich>
              <a:bodyPr/>
              <a:lstStyle/>
              <a:p>
                <a:pPr>
                  <a:defRPr/>
                </a:pPr>
                <a:r>
                  <a:rPr lang="en-US" sz="800"/>
                  <a:t>RE Installed Capacity </a:t>
                </a:r>
              </a:p>
            </c:rich>
          </c:tx>
          <c:layout>
            <c:manualLayout>
              <c:xMode val="edge"/>
              <c:yMode val="edge"/>
              <c:x val="0.22862368541380887"/>
              <c:y val="0.22612593409900195"/>
            </c:manualLayout>
          </c:layout>
        </c:title>
        <c:numFmt formatCode="#,##0" sourceLinked="0"/>
        <c:majorTickMark val="none"/>
        <c:tickLblPos val="nextTo"/>
        <c:crossAx val="121102720"/>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3 - Distributed RE Energy contribution to the Grid (%)</a:t>
            </a:r>
          </a:p>
          <a:p>
            <a:pPr>
              <a:defRPr/>
            </a:pPr>
            <a:endParaRPr lang="en-US"/>
          </a:p>
        </c:rich>
      </c:tx>
      <c:layout>
        <c:manualLayout>
          <c:xMode val="edge"/>
          <c:yMode val="edge"/>
          <c:x val="0.15662984073929351"/>
          <c:y val="2.6066075614282862E-2"/>
        </c:manualLayout>
      </c:layout>
    </c:title>
    <c:plotArea>
      <c:layout/>
      <c:barChart>
        <c:barDir val="col"/>
        <c:grouping val="clustered"/>
        <c:ser>
          <c:idx val="0"/>
          <c:order val="0"/>
          <c:tx>
            <c:v>Percent Distributed RE Generation to the Grid</c:v>
          </c:tx>
          <c:cat>
            <c:numRef>
              <c:f>Generation!$C$2:$G$2</c:f>
              <c:numCache>
                <c:formatCode>General</c:formatCode>
                <c:ptCount val="5"/>
                <c:pt idx="0">
                  <c:v>2012</c:v>
                </c:pt>
                <c:pt idx="1">
                  <c:v>2013</c:v>
                </c:pt>
                <c:pt idx="2">
                  <c:v>2014</c:v>
                </c:pt>
                <c:pt idx="3">
                  <c:v>2015</c:v>
                </c:pt>
                <c:pt idx="4">
                  <c:v>2016</c:v>
                </c:pt>
              </c:numCache>
            </c:numRef>
          </c:cat>
          <c:val>
            <c:numRef>
              <c:f>Generation!$C$33:$G$33</c:f>
              <c:numCache>
                <c:formatCode>#,##0.00</c:formatCode>
                <c:ptCount val="5"/>
                <c:pt idx="0">
                  <c:v>0.12884569989771041</c:v>
                </c:pt>
                <c:pt idx="1">
                  <c:v>5.9552167698904292E-2</c:v>
                </c:pt>
                <c:pt idx="2">
                  <c:v>0.11408401263699833</c:v>
                </c:pt>
                <c:pt idx="3">
                  <c:v>7.0972320794889979E-2</c:v>
                </c:pt>
                <c:pt idx="4">
                  <c:v>0.10157171099124269</c:v>
                </c:pt>
              </c:numCache>
            </c:numRef>
          </c:val>
        </c:ser>
        <c:axId val="121510912"/>
        <c:axId val="121516800"/>
      </c:barChart>
      <c:catAx>
        <c:axId val="121510912"/>
        <c:scaling>
          <c:orientation val="minMax"/>
        </c:scaling>
        <c:axPos val="b"/>
        <c:numFmt formatCode="General" sourceLinked="1"/>
        <c:majorTickMark val="none"/>
        <c:tickLblPos val="nextTo"/>
        <c:crossAx val="121516800"/>
        <c:crosses val="autoZero"/>
        <c:auto val="1"/>
        <c:lblAlgn val="ctr"/>
        <c:lblOffset val="100"/>
      </c:catAx>
      <c:valAx>
        <c:axId val="121516800"/>
        <c:scaling>
          <c:orientation val="minMax"/>
        </c:scaling>
        <c:axPos val="l"/>
        <c:majorGridlines/>
        <c:title>
          <c:tx>
            <c:rich>
              <a:bodyPr/>
              <a:lstStyle/>
              <a:p>
                <a:pPr>
                  <a:defRPr/>
                </a:pPr>
                <a:r>
                  <a:rPr lang="en-US"/>
                  <a:t>Percentages</a:t>
                </a:r>
              </a:p>
            </c:rich>
          </c:tx>
          <c:layout>
            <c:manualLayout>
              <c:xMode val="edge"/>
              <c:yMode val="edge"/>
              <c:x val="0.23504273504273995"/>
              <c:y val="0.37670938402630461"/>
            </c:manualLayout>
          </c:layout>
        </c:title>
        <c:numFmt formatCode="#,##0.00" sourceLinked="1"/>
        <c:majorTickMark val="none"/>
        <c:tickLblPos val="nextTo"/>
        <c:crossAx val="121510912"/>
        <c:crosses val="autoZero"/>
        <c:crossBetween val="between"/>
      </c:valAx>
      <c:dTable>
        <c:showHorzBorder val="1"/>
        <c:showVertBorder val="1"/>
        <c:showOutline val="1"/>
        <c:showKeys val="1"/>
      </c:dTable>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8163935338471524E-2"/>
          <c:y val="0.23007608001702931"/>
          <c:w val="0.70540580395649921"/>
          <c:h val="0.68528995530964032"/>
        </c:manualLayout>
      </c:layout>
      <c:barChart>
        <c:barDir val="col"/>
        <c:grouping val="clustered"/>
        <c:ser>
          <c:idx val="1"/>
          <c:order val="0"/>
          <c:cat>
            <c:numRef>
              <c:f>Generation!$J$2:$N$2</c:f>
              <c:numCache>
                <c:formatCode>General</c:formatCode>
                <c:ptCount val="5"/>
                <c:pt idx="0">
                  <c:v>2012</c:v>
                </c:pt>
                <c:pt idx="1">
                  <c:v>2013</c:v>
                </c:pt>
                <c:pt idx="2">
                  <c:v>2014</c:v>
                </c:pt>
                <c:pt idx="3">
                  <c:v>2015</c:v>
                </c:pt>
                <c:pt idx="4">
                  <c:v>2016</c:v>
                </c:pt>
              </c:numCache>
            </c:numRef>
          </c:cat>
          <c:val>
            <c:numRef>
              <c:f>Generation!$C$34:$G$34</c:f>
            </c:numRef>
          </c:val>
        </c:ser>
        <c:ser>
          <c:idx val="2"/>
          <c:order val="1"/>
          <c:tx>
            <c:v>Diesel Contribution (%)</c:v>
          </c:tx>
          <c:dLbls>
            <c:showVal val="1"/>
          </c:dLbls>
          <c:cat>
            <c:numRef>
              <c:f>Generation!$J$2:$N$2</c:f>
              <c:numCache>
                <c:formatCode>General</c:formatCode>
                <c:ptCount val="5"/>
                <c:pt idx="0">
                  <c:v>2012</c:v>
                </c:pt>
                <c:pt idx="1">
                  <c:v>2013</c:v>
                </c:pt>
                <c:pt idx="2">
                  <c:v>2014</c:v>
                </c:pt>
                <c:pt idx="3">
                  <c:v>2015</c:v>
                </c:pt>
                <c:pt idx="4">
                  <c:v>2016</c:v>
                </c:pt>
              </c:numCache>
            </c:numRef>
          </c:cat>
          <c:val>
            <c:numRef>
              <c:f>Generation!$C$35:$G$35</c:f>
              <c:numCache>
                <c:formatCode>#,##0.00</c:formatCode>
                <c:ptCount val="5"/>
                <c:pt idx="0">
                  <c:v>73.576795971358848</c:v>
                </c:pt>
                <c:pt idx="1">
                  <c:v>63.509409242496424</c:v>
                </c:pt>
                <c:pt idx="2">
                  <c:v>69.996879753500508</c:v>
                </c:pt>
                <c:pt idx="3">
                  <c:v>77.087146539165516</c:v>
                </c:pt>
                <c:pt idx="4">
                  <c:v>67.468176654232522</c:v>
                </c:pt>
              </c:numCache>
            </c:numRef>
          </c:val>
        </c:ser>
        <c:ser>
          <c:idx val="3"/>
          <c:order val="2"/>
          <c:tx>
            <c:v>Hydro Contribution (%)</c:v>
          </c:tx>
          <c:dLbls>
            <c:showVal val="1"/>
          </c:dLbls>
          <c:cat>
            <c:numRef>
              <c:f>Generation!$J$2:$N$2</c:f>
              <c:numCache>
                <c:formatCode>General</c:formatCode>
                <c:ptCount val="5"/>
                <c:pt idx="0">
                  <c:v>2012</c:v>
                </c:pt>
                <c:pt idx="1">
                  <c:v>2013</c:v>
                </c:pt>
                <c:pt idx="2">
                  <c:v>2014</c:v>
                </c:pt>
                <c:pt idx="3">
                  <c:v>2015</c:v>
                </c:pt>
                <c:pt idx="4">
                  <c:v>2016</c:v>
                </c:pt>
              </c:numCache>
            </c:numRef>
          </c:cat>
          <c:val>
            <c:numRef>
              <c:f>Generation!$C$36:$G$36</c:f>
              <c:numCache>
                <c:formatCode>#,##0.00</c:formatCode>
                <c:ptCount val="5"/>
                <c:pt idx="0">
                  <c:v>26.619428161977648</c:v>
                </c:pt>
                <c:pt idx="1">
                  <c:v>36.528567021287174</c:v>
                </c:pt>
                <c:pt idx="2">
                  <c:v>30.491724968402618</c:v>
                </c:pt>
                <c:pt idx="3">
                  <c:v>24.323517410905289</c:v>
                </c:pt>
                <c:pt idx="4">
                  <c:v>36.192191714022513</c:v>
                </c:pt>
              </c:numCache>
            </c:numRef>
          </c:val>
        </c:ser>
        <c:axId val="94245248"/>
        <c:axId val="94246784"/>
      </c:barChart>
      <c:catAx>
        <c:axId val="94245248"/>
        <c:scaling>
          <c:orientation val="minMax"/>
        </c:scaling>
        <c:axPos val="b"/>
        <c:numFmt formatCode="General" sourceLinked="1"/>
        <c:tickLblPos val="nextTo"/>
        <c:crossAx val="94246784"/>
        <c:crosses val="autoZero"/>
        <c:auto val="1"/>
        <c:lblAlgn val="ctr"/>
        <c:lblOffset val="100"/>
      </c:catAx>
      <c:valAx>
        <c:axId val="94246784"/>
        <c:scaling>
          <c:orientation val="minMax"/>
        </c:scaling>
        <c:axPos val="l"/>
        <c:majorGridlines/>
        <c:numFmt formatCode="#,##0" sourceLinked="0"/>
        <c:tickLblPos val="nextTo"/>
        <c:crossAx val="94245248"/>
        <c:crosses val="autoZero"/>
        <c:crossBetween val="between"/>
      </c:valAx>
    </c:plotArea>
    <c:legend>
      <c:legendPos val="r"/>
    </c:legend>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4a -Trending</a:t>
            </a:r>
            <a:r>
              <a:rPr lang="en-US" sz="1200" baseline="0"/>
              <a:t> Hydro to Diesel Generation</a:t>
            </a:r>
          </a:p>
          <a:p>
            <a:pPr>
              <a:defRPr/>
            </a:pPr>
            <a:r>
              <a:rPr lang="en-US" sz="800" baseline="0"/>
              <a:t>in percentages</a:t>
            </a:r>
            <a:endParaRPr lang="en-US" sz="800"/>
          </a:p>
        </c:rich>
      </c:tx>
    </c:title>
    <c:plotArea>
      <c:layout/>
      <c:lineChart>
        <c:grouping val="standard"/>
        <c:ser>
          <c:idx val="0"/>
          <c:order val="0"/>
          <c:tx>
            <c:v>Diesel</c:v>
          </c:tx>
          <c:marker>
            <c:symbol val="none"/>
          </c:marker>
          <c:dLbls>
            <c:showVal val="1"/>
          </c:dLbls>
          <c:cat>
            <c:numRef>
              <c:f>Generation!$J$2:$N$2</c:f>
              <c:numCache>
                <c:formatCode>General</c:formatCode>
                <c:ptCount val="5"/>
                <c:pt idx="0">
                  <c:v>2012</c:v>
                </c:pt>
                <c:pt idx="1">
                  <c:v>2013</c:v>
                </c:pt>
                <c:pt idx="2">
                  <c:v>2014</c:v>
                </c:pt>
                <c:pt idx="3">
                  <c:v>2015</c:v>
                </c:pt>
                <c:pt idx="4">
                  <c:v>2016</c:v>
                </c:pt>
              </c:numCache>
            </c:numRef>
          </c:cat>
          <c:val>
            <c:numRef>
              <c:f>Generation!$J$35:$N$35</c:f>
              <c:numCache>
                <c:formatCode>#,##0.00</c:formatCode>
                <c:ptCount val="5"/>
                <c:pt idx="0">
                  <c:v>14.497486326525479</c:v>
                </c:pt>
                <c:pt idx="1">
                  <c:v>-13.682828391686646</c:v>
                </c:pt>
                <c:pt idx="2">
                  <c:v>10.214975368819998</c:v>
                </c:pt>
                <c:pt idx="3">
                  <c:v>10.129404068629826</c:v>
                </c:pt>
                <c:pt idx="4">
                  <c:v>-12.478046362821226</c:v>
                </c:pt>
              </c:numCache>
            </c:numRef>
          </c:val>
        </c:ser>
        <c:ser>
          <c:idx val="1"/>
          <c:order val="1"/>
          <c:tx>
            <c:v>Hydro</c:v>
          </c:tx>
          <c:marker>
            <c:symbol val="none"/>
          </c:marker>
          <c:dLbls>
            <c:showVal val="1"/>
          </c:dLbls>
          <c:cat>
            <c:numRef>
              <c:f>Generation!$J$2:$N$2</c:f>
              <c:numCache>
                <c:formatCode>General</c:formatCode>
                <c:ptCount val="5"/>
                <c:pt idx="0">
                  <c:v>2012</c:v>
                </c:pt>
                <c:pt idx="1">
                  <c:v>2013</c:v>
                </c:pt>
                <c:pt idx="2">
                  <c:v>2014</c:v>
                </c:pt>
                <c:pt idx="3">
                  <c:v>2015</c:v>
                </c:pt>
                <c:pt idx="4">
                  <c:v>2016</c:v>
                </c:pt>
              </c:numCache>
            </c:numRef>
          </c:cat>
          <c:val>
            <c:numRef>
              <c:f>Generation!$J$36:$N$36</c:f>
              <c:numCache>
                <c:formatCode>#,##0.00</c:formatCode>
                <c:ptCount val="5"/>
                <c:pt idx="0">
                  <c:v>-25.359973211295898</c:v>
                </c:pt>
                <c:pt idx="1">
                  <c:v>37.225213100046012</c:v>
                </c:pt>
                <c:pt idx="2">
                  <c:v>-16.526358806702071</c:v>
                </c:pt>
                <c:pt idx="3">
                  <c:v>-20.229119749338889</c:v>
                </c:pt>
                <c:pt idx="4">
                  <c:v>48.795057485372958</c:v>
                </c:pt>
              </c:numCache>
            </c:numRef>
          </c:val>
        </c:ser>
        <c:marker val="1"/>
        <c:axId val="94280320"/>
        <c:axId val="94290304"/>
      </c:lineChart>
      <c:catAx>
        <c:axId val="94280320"/>
        <c:scaling>
          <c:orientation val="minMax"/>
        </c:scaling>
        <c:axPos val="b"/>
        <c:numFmt formatCode="General" sourceLinked="1"/>
        <c:majorTickMark val="none"/>
        <c:tickLblPos val="nextTo"/>
        <c:crossAx val="94290304"/>
        <c:crosses val="autoZero"/>
        <c:auto val="1"/>
        <c:lblAlgn val="ctr"/>
        <c:lblOffset val="100"/>
      </c:catAx>
      <c:valAx>
        <c:axId val="94290304"/>
        <c:scaling>
          <c:orientation val="minMax"/>
        </c:scaling>
        <c:axPos val="l"/>
        <c:majorGridlines/>
        <c:title>
          <c:tx>
            <c:rich>
              <a:bodyPr/>
              <a:lstStyle/>
              <a:p>
                <a:pPr>
                  <a:defRPr/>
                </a:pPr>
                <a:r>
                  <a:rPr lang="en-US"/>
                  <a:t>Percentages</a:t>
                </a:r>
              </a:p>
            </c:rich>
          </c:tx>
          <c:layout>
            <c:manualLayout>
              <c:xMode val="edge"/>
              <c:yMode val="edge"/>
              <c:x val="5.9814311162669234E-2"/>
              <c:y val="0.35665281850443442"/>
            </c:manualLayout>
          </c:layout>
        </c:title>
        <c:numFmt formatCode="#,##0" sourceLinked="0"/>
        <c:majorTickMark val="none"/>
        <c:tickLblPos val="nextTo"/>
        <c:crossAx val="94280320"/>
        <c:crosses val="autoZero"/>
        <c:crossBetween val="between"/>
      </c:valAx>
      <c:dTable>
        <c:showHorzBorder val="1"/>
        <c:showVertBorder val="1"/>
        <c:showOutline val="1"/>
        <c:showKeys val="1"/>
      </c:dTable>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852917423783566"/>
          <c:y val="0.19852887126888202"/>
          <c:w val="0.48120081462846198"/>
          <c:h val="0.62897450598922222"/>
        </c:manualLayout>
      </c:layout>
      <c:lineChart>
        <c:grouping val="standard"/>
        <c:ser>
          <c:idx val="0"/>
          <c:order val="0"/>
          <c:tx>
            <c:v>Total Generation (kWhx1000)</c:v>
          </c:tx>
          <c:marker>
            <c:symbol val="none"/>
          </c:marker>
          <c:dLbls>
            <c:txPr>
              <a:bodyPr/>
              <a:lstStyle/>
              <a:p>
                <a:pPr>
                  <a:defRPr sz="660" baseline="0"/>
                </a:pPr>
                <a:endParaRPr lang="en-US"/>
              </a:p>
            </c:txPr>
            <c:dLblPos val="t"/>
            <c:showVal val="1"/>
          </c:dLbls>
          <c:cat>
            <c:numRef>
              <c:f>Generation!$C$2:$G$2</c:f>
              <c:numCache>
                <c:formatCode>General</c:formatCode>
                <c:ptCount val="5"/>
                <c:pt idx="0">
                  <c:v>2012</c:v>
                </c:pt>
                <c:pt idx="1">
                  <c:v>2013</c:v>
                </c:pt>
                <c:pt idx="2">
                  <c:v>2014</c:v>
                </c:pt>
                <c:pt idx="3">
                  <c:v>2015</c:v>
                </c:pt>
                <c:pt idx="4">
                  <c:v>2016</c:v>
                </c:pt>
              </c:numCache>
            </c:numRef>
          </c:cat>
          <c:val>
            <c:numRef>
              <c:f>Generation!$C$9:$G$9</c:f>
              <c:numCache>
                <c:formatCode>#,##0</c:formatCode>
                <c:ptCount val="5"/>
                <c:pt idx="0">
                  <c:v>101672</c:v>
                </c:pt>
                <c:pt idx="1">
                  <c:v>100752</c:v>
                </c:pt>
                <c:pt idx="2">
                  <c:v>102556</c:v>
                </c:pt>
                <c:pt idx="3">
                  <c:v>107084</c:v>
                </c:pt>
                <c:pt idx="4">
                  <c:v>111789</c:v>
                </c:pt>
              </c:numCache>
            </c:numRef>
          </c:val>
        </c:ser>
        <c:ser>
          <c:idx val="1"/>
          <c:order val="1"/>
          <c:tx>
            <c:v>Total Energy Delivered (kWhx1000)</c:v>
          </c:tx>
          <c:marker>
            <c:symbol val="none"/>
          </c:marker>
          <c:dLbls>
            <c:txPr>
              <a:bodyPr/>
              <a:lstStyle/>
              <a:p>
                <a:pPr>
                  <a:defRPr sz="660" baseline="0"/>
                </a:pPr>
                <a:endParaRPr lang="en-US"/>
              </a:p>
            </c:txPr>
            <c:dLblPos val="b"/>
            <c:showVal val="1"/>
          </c:dLbls>
          <c:val>
            <c:numRef>
              <c:f>Generation!$C$11:$G$11</c:f>
              <c:numCache>
                <c:formatCode>#,##0</c:formatCode>
                <c:ptCount val="5"/>
                <c:pt idx="0">
                  <c:v>98046</c:v>
                </c:pt>
                <c:pt idx="1">
                  <c:v>97321</c:v>
                </c:pt>
                <c:pt idx="2">
                  <c:v>99157</c:v>
                </c:pt>
                <c:pt idx="3">
                  <c:v>103126</c:v>
                </c:pt>
                <c:pt idx="4">
                  <c:v>108605</c:v>
                </c:pt>
              </c:numCache>
            </c:numRef>
          </c:val>
        </c:ser>
        <c:ser>
          <c:idx val="2"/>
          <c:order val="2"/>
          <c:tx>
            <c:v>Total Energy Sold (kWhx1000)</c:v>
          </c:tx>
          <c:marker>
            <c:symbol val="none"/>
          </c:marker>
          <c:dLbls>
            <c:txPr>
              <a:bodyPr/>
              <a:lstStyle/>
              <a:p>
                <a:pPr>
                  <a:defRPr sz="660" normalizeH="0" baseline="0"/>
                </a:pPr>
                <a:endParaRPr lang="en-US"/>
              </a:p>
            </c:txPr>
            <c:dLblPos val="b"/>
            <c:showVal val="1"/>
          </c:dLbls>
          <c:val>
            <c:numRef>
              <c:f>Generation!$C$13:$G$13</c:f>
              <c:numCache>
                <c:formatCode>#,##0</c:formatCode>
                <c:ptCount val="5"/>
                <c:pt idx="0">
                  <c:v>90113</c:v>
                </c:pt>
                <c:pt idx="1">
                  <c:v>89339</c:v>
                </c:pt>
                <c:pt idx="2">
                  <c:v>91158</c:v>
                </c:pt>
                <c:pt idx="3">
                  <c:v>94958</c:v>
                </c:pt>
                <c:pt idx="4">
                  <c:v>99384</c:v>
                </c:pt>
              </c:numCache>
            </c:numRef>
          </c:val>
        </c:ser>
        <c:marker val="1"/>
        <c:axId val="121660928"/>
        <c:axId val="121662464"/>
      </c:lineChart>
      <c:catAx>
        <c:axId val="121660928"/>
        <c:scaling>
          <c:orientation val="minMax"/>
        </c:scaling>
        <c:axPos val="b"/>
        <c:numFmt formatCode="General" sourceLinked="1"/>
        <c:tickLblPos val="nextTo"/>
        <c:crossAx val="121662464"/>
        <c:crosses val="autoZero"/>
        <c:auto val="1"/>
        <c:lblAlgn val="ctr"/>
        <c:lblOffset val="100"/>
      </c:catAx>
      <c:valAx>
        <c:axId val="121662464"/>
        <c:scaling>
          <c:orientation val="minMax"/>
          <c:max val="120000"/>
          <c:min val="80000"/>
        </c:scaling>
        <c:axPos val="l"/>
        <c:majorGridlines/>
        <c:numFmt formatCode="#,##0" sourceLinked="1"/>
        <c:tickLblPos val="nextTo"/>
        <c:crossAx val="121660928"/>
        <c:crosses val="autoZero"/>
        <c:crossBetween val="between"/>
        <c:majorUnit val="10000"/>
        <c:minorUnit val="10000"/>
      </c:valAx>
    </c:plotArea>
    <c:legend>
      <c:legendPos val="r"/>
    </c:legend>
    <c:plotVisOnly val="1"/>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5a</a:t>
            </a:r>
            <a:r>
              <a:rPr lang="en-US" sz="1200" baseline="0"/>
              <a:t> - Trending - Energy Generated, Delivered and Sold</a:t>
            </a:r>
            <a:endParaRPr lang="en-US" sz="1200"/>
          </a:p>
        </c:rich>
      </c:tx>
    </c:title>
    <c:plotArea>
      <c:layout/>
      <c:lineChart>
        <c:grouping val="standard"/>
        <c:ser>
          <c:idx val="0"/>
          <c:order val="0"/>
          <c:tx>
            <c:v>Trending - Gross Generation</c:v>
          </c:tx>
          <c:marker>
            <c:symbol val="none"/>
          </c:marker>
          <c:cat>
            <c:numRef>
              <c:f>Generation!$J$2:$N$2</c:f>
              <c:numCache>
                <c:formatCode>General</c:formatCode>
                <c:ptCount val="5"/>
                <c:pt idx="0">
                  <c:v>2012</c:v>
                </c:pt>
                <c:pt idx="1">
                  <c:v>2013</c:v>
                </c:pt>
                <c:pt idx="2">
                  <c:v>2014</c:v>
                </c:pt>
                <c:pt idx="3">
                  <c:v>2015</c:v>
                </c:pt>
                <c:pt idx="4">
                  <c:v>2016</c:v>
                </c:pt>
              </c:numCache>
            </c:numRef>
          </c:cat>
          <c:val>
            <c:numRef>
              <c:f>Generation!$J$9:$N$9</c:f>
              <c:numCache>
                <c:formatCode>#,##0.00</c:formatCode>
                <c:ptCount val="5"/>
                <c:pt idx="0">
                  <c:v>1.1832847347312825</c:v>
                </c:pt>
                <c:pt idx="1">
                  <c:v>-0.90487056416712552</c:v>
                </c:pt>
                <c:pt idx="2">
                  <c:v>1.7905351754803875</c:v>
                </c:pt>
                <c:pt idx="3">
                  <c:v>4.4151487967549494</c:v>
                </c:pt>
                <c:pt idx="4">
                  <c:v>4.3937469649994396</c:v>
                </c:pt>
              </c:numCache>
            </c:numRef>
          </c:val>
        </c:ser>
        <c:ser>
          <c:idx val="1"/>
          <c:order val="1"/>
          <c:tx>
            <c:v>Trending - Net Generation</c:v>
          </c:tx>
          <c:marker>
            <c:symbol val="none"/>
          </c:marker>
          <c:cat>
            <c:numRef>
              <c:f>Generation!$J$2:$N$2</c:f>
              <c:numCache>
                <c:formatCode>General</c:formatCode>
                <c:ptCount val="5"/>
                <c:pt idx="0">
                  <c:v>2012</c:v>
                </c:pt>
                <c:pt idx="1">
                  <c:v>2013</c:v>
                </c:pt>
                <c:pt idx="2">
                  <c:v>2014</c:v>
                </c:pt>
                <c:pt idx="3">
                  <c:v>2015</c:v>
                </c:pt>
                <c:pt idx="4">
                  <c:v>2016</c:v>
                </c:pt>
              </c:numCache>
            </c:numRef>
          </c:cat>
          <c:val>
            <c:numRef>
              <c:f>Generation!$J$11:$N$11</c:f>
              <c:numCache>
                <c:formatCode>#,##0.00</c:formatCode>
                <c:ptCount val="5"/>
                <c:pt idx="0">
                  <c:v>0.84132143004074356</c:v>
                </c:pt>
                <c:pt idx="1">
                  <c:v>-0.73944883014095464</c:v>
                </c:pt>
                <c:pt idx="2">
                  <c:v>1.8865404177926655</c:v>
                </c:pt>
                <c:pt idx="3">
                  <c:v>4.0027431245399034</c:v>
                </c:pt>
                <c:pt idx="4">
                  <c:v>5.3129181777631249</c:v>
                </c:pt>
              </c:numCache>
            </c:numRef>
          </c:val>
        </c:ser>
        <c:ser>
          <c:idx val="2"/>
          <c:order val="2"/>
          <c:tx>
            <c:v>Trending - Energy Sold</c:v>
          </c:tx>
          <c:marker>
            <c:symbol val="none"/>
          </c:marker>
          <c:cat>
            <c:numRef>
              <c:f>Generation!$J$2:$N$2</c:f>
              <c:numCache>
                <c:formatCode>General</c:formatCode>
                <c:ptCount val="5"/>
                <c:pt idx="0">
                  <c:v>2012</c:v>
                </c:pt>
                <c:pt idx="1">
                  <c:v>2013</c:v>
                </c:pt>
                <c:pt idx="2">
                  <c:v>2014</c:v>
                </c:pt>
                <c:pt idx="3">
                  <c:v>2015</c:v>
                </c:pt>
                <c:pt idx="4">
                  <c:v>2016</c:v>
                </c:pt>
              </c:numCache>
            </c:numRef>
          </c:cat>
          <c:val>
            <c:numRef>
              <c:f>Generation!$J$13:$N$13</c:f>
              <c:numCache>
                <c:formatCode>#,##0.00</c:formatCode>
                <c:ptCount val="5"/>
                <c:pt idx="0">
                  <c:v>1.4306296571440653</c:v>
                </c:pt>
                <c:pt idx="1">
                  <c:v>-0.85892157624319743</c:v>
                </c:pt>
                <c:pt idx="2">
                  <c:v>2.0360648764817157</c:v>
                </c:pt>
                <c:pt idx="3">
                  <c:v>4.1685864104081745</c:v>
                </c:pt>
                <c:pt idx="4">
                  <c:v>4.6610080246003491</c:v>
                </c:pt>
              </c:numCache>
            </c:numRef>
          </c:val>
        </c:ser>
        <c:marker val="1"/>
        <c:axId val="121674368"/>
        <c:axId val="121545088"/>
      </c:lineChart>
      <c:catAx>
        <c:axId val="121674368"/>
        <c:scaling>
          <c:orientation val="minMax"/>
        </c:scaling>
        <c:axPos val="b"/>
        <c:numFmt formatCode="General" sourceLinked="1"/>
        <c:majorTickMark val="none"/>
        <c:tickLblPos val="nextTo"/>
        <c:crossAx val="121545088"/>
        <c:crosses val="autoZero"/>
        <c:auto val="1"/>
        <c:lblAlgn val="ctr"/>
        <c:lblOffset val="100"/>
      </c:catAx>
      <c:valAx>
        <c:axId val="121545088"/>
        <c:scaling>
          <c:orientation val="minMax"/>
        </c:scaling>
        <c:axPos val="l"/>
        <c:majorGridlines/>
        <c:title>
          <c:tx>
            <c:rich>
              <a:bodyPr/>
              <a:lstStyle/>
              <a:p>
                <a:pPr>
                  <a:defRPr/>
                </a:pPr>
                <a:r>
                  <a:rPr lang="en-US"/>
                  <a:t>Percentages</a:t>
                </a:r>
              </a:p>
            </c:rich>
          </c:tx>
          <c:layout>
            <c:manualLayout>
              <c:xMode val="edge"/>
              <c:yMode val="edge"/>
              <c:x val="3.6111111111111212E-2"/>
              <c:y val="0.28407234128127595"/>
            </c:manualLayout>
          </c:layout>
        </c:title>
        <c:numFmt formatCode="#,##0.00" sourceLinked="1"/>
        <c:majorTickMark val="none"/>
        <c:tickLblPos val="nextTo"/>
        <c:crossAx val="121674368"/>
        <c:crosses val="autoZero"/>
        <c:crossBetween val="between"/>
      </c:valAx>
      <c:dTable>
        <c:showHorzBorder val="1"/>
        <c:showVertBorder val="1"/>
        <c:showOutline val="1"/>
        <c:showKeys val="1"/>
      </c:dTable>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nchor="t" anchorCtr="1"/>
          <a:lstStyle/>
          <a:p>
            <a:pPr>
              <a:defRPr/>
            </a:pPr>
            <a:r>
              <a:rPr lang="en-US" sz="1200"/>
              <a:t>Figure</a:t>
            </a:r>
            <a:r>
              <a:rPr lang="en-US" sz="1200" baseline="0"/>
              <a:t> 6 - Capacity and Load Factors</a:t>
            </a:r>
            <a:endParaRPr lang="en-US" sz="1200"/>
          </a:p>
        </c:rich>
      </c:tx>
      <c:layout>
        <c:manualLayout>
          <c:xMode val="edge"/>
          <c:yMode val="edge"/>
          <c:x val="0.27696471325798705"/>
          <c:y val="2.4048008931712227E-2"/>
        </c:manualLayout>
      </c:layout>
    </c:title>
    <c:plotArea>
      <c:layout>
        <c:manualLayout>
          <c:layoutTarget val="inner"/>
          <c:xMode val="edge"/>
          <c:yMode val="edge"/>
          <c:x val="0.16434432198863913"/>
          <c:y val="0.14455414048060014"/>
          <c:w val="0.80976193944101893"/>
          <c:h val="0.67839046997915264"/>
        </c:manualLayout>
      </c:layout>
      <c:lineChart>
        <c:grouping val="standard"/>
        <c:ser>
          <c:idx val="0"/>
          <c:order val="0"/>
          <c:tx>
            <c:v>Capacity Factor</c:v>
          </c:tx>
          <c:marker>
            <c:symbol val="none"/>
          </c:marker>
          <c:dLbls>
            <c:dLblPos val="ctr"/>
            <c:showVal val="1"/>
          </c:dLbls>
          <c:cat>
            <c:numRef>
              <c:f>Generation!$C$2:$G$2</c:f>
              <c:numCache>
                <c:formatCode>General</c:formatCode>
                <c:ptCount val="5"/>
                <c:pt idx="0">
                  <c:v>2012</c:v>
                </c:pt>
                <c:pt idx="1">
                  <c:v>2013</c:v>
                </c:pt>
                <c:pt idx="2">
                  <c:v>2014</c:v>
                </c:pt>
                <c:pt idx="3">
                  <c:v>2015</c:v>
                </c:pt>
                <c:pt idx="4">
                  <c:v>2016</c:v>
                </c:pt>
              </c:numCache>
            </c:numRef>
          </c:cat>
          <c:val>
            <c:numRef>
              <c:f>Generation!$C$24:$G$24</c:f>
              <c:numCache>
                <c:formatCode>#,##0.00</c:formatCode>
                <c:ptCount val="5"/>
                <c:pt idx="0">
                  <c:v>43.404609925444745</c:v>
                </c:pt>
                <c:pt idx="1">
                  <c:v>43.011854386737824</c:v>
                </c:pt>
                <c:pt idx="2">
                  <c:v>43.781996769158788</c:v>
                </c:pt>
                <c:pt idx="3">
                  <c:v>45.715037072707574</c:v>
                </c:pt>
                <c:pt idx="4">
                  <c:v>47.723640126638053</c:v>
                </c:pt>
              </c:numCache>
            </c:numRef>
          </c:val>
        </c:ser>
        <c:ser>
          <c:idx val="1"/>
          <c:order val="1"/>
          <c:tx>
            <c:v>Load Factor</c:v>
          </c:tx>
          <c:marker>
            <c:symbol val="none"/>
          </c:marker>
          <c:dLbls>
            <c:dLblPos val="ctr"/>
            <c:showVal val="1"/>
          </c:dLbls>
          <c:val>
            <c:numRef>
              <c:f>Generation!$C$23:$G$23</c:f>
              <c:numCache>
                <c:formatCode>#,##0.00</c:formatCode>
                <c:ptCount val="5"/>
                <c:pt idx="0">
                  <c:v>67.479027291069343</c:v>
                </c:pt>
                <c:pt idx="1">
                  <c:v>65.722113502935414</c:v>
                </c:pt>
                <c:pt idx="2">
                  <c:v>65.403943776944473</c:v>
                </c:pt>
                <c:pt idx="3">
                  <c:v>68.675286029448458</c:v>
                </c:pt>
                <c:pt idx="4">
                  <c:v>71.829907519210849</c:v>
                </c:pt>
              </c:numCache>
            </c:numRef>
          </c:val>
        </c:ser>
        <c:marker val="1"/>
        <c:axId val="122055680"/>
        <c:axId val="122077952"/>
      </c:lineChart>
      <c:catAx>
        <c:axId val="122055680"/>
        <c:scaling>
          <c:orientation val="minMax"/>
        </c:scaling>
        <c:axPos val="b"/>
        <c:numFmt formatCode="General" sourceLinked="1"/>
        <c:majorTickMark val="none"/>
        <c:tickLblPos val="nextTo"/>
        <c:crossAx val="122077952"/>
        <c:crosses val="autoZero"/>
        <c:auto val="1"/>
        <c:lblAlgn val="ctr"/>
        <c:lblOffset val="100"/>
      </c:catAx>
      <c:valAx>
        <c:axId val="122077952"/>
        <c:scaling>
          <c:orientation val="minMax"/>
        </c:scaling>
        <c:axPos val="l"/>
        <c:majorGridlines/>
        <c:title>
          <c:tx>
            <c:rich>
              <a:bodyPr/>
              <a:lstStyle/>
              <a:p>
                <a:pPr>
                  <a:defRPr/>
                </a:pPr>
                <a:r>
                  <a:rPr lang="en-US"/>
                  <a:t>Percentages</a:t>
                </a:r>
              </a:p>
            </c:rich>
          </c:tx>
          <c:layout>
            <c:manualLayout>
              <c:xMode val="edge"/>
              <c:yMode val="edge"/>
              <c:x val="5.7726514702332934E-2"/>
              <c:y val="0.40925109334706489"/>
            </c:manualLayout>
          </c:layout>
        </c:title>
        <c:numFmt formatCode="#,##0.00" sourceLinked="1"/>
        <c:majorTickMark val="none"/>
        <c:tickLblPos val="nextTo"/>
        <c:crossAx val="122055680"/>
        <c:crosses val="autoZero"/>
        <c:crossBetween val="between"/>
      </c:valAx>
      <c:dTable>
        <c:showHorzBorder val="1"/>
        <c:showVertBorder val="1"/>
        <c:showOutline val="1"/>
        <c:showKeys val="1"/>
      </c:dTable>
    </c:plotArea>
    <c:plotVisOnly val="1"/>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7- Generation Specific Fuel Consumption</a:t>
            </a:r>
          </a:p>
        </c:rich>
      </c:tx>
    </c:title>
    <c:plotArea>
      <c:layout/>
      <c:lineChart>
        <c:grouping val="standard"/>
        <c:ser>
          <c:idx val="0"/>
          <c:order val="0"/>
          <c:tx>
            <c:v>Generation Specific Fuel Consumption</c:v>
          </c:tx>
          <c:marker>
            <c:symbol val="none"/>
          </c:marker>
          <c:dLbls>
            <c:showVal val="1"/>
          </c:dLbls>
          <c:cat>
            <c:numRef>
              <c:f>Generation!$C$2:$G$2</c:f>
              <c:numCache>
                <c:formatCode>General</c:formatCode>
                <c:ptCount val="5"/>
                <c:pt idx="0">
                  <c:v>2012</c:v>
                </c:pt>
                <c:pt idx="1">
                  <c:v>2013</c:v>
                </c:pt>
                <c:pt idx="2">
                  <c:v>2014</c:v>
                </c:pt>
                <c:pt idx="3">
                  <c:v>2015</c:v>
                </c:pt>
                <c:pt idx="4">
                  <c:v>2016</c:v>
                </c:pt>
              </c:numCache>
            </c:numRef>
          </c:cat>
          <c:val>
            <c:numRef>
              <c:f>Generation!$C$27:$G$27</c:f>
              <c:numCache>
                <c:formatCode>#,##0.00</c:formatCode>
                <c:ptCount val="5"/>
                <c:pt idx="0">
                  <c:v>17.216008469115344</c:v>
                </c:pt>
                <c:pt idx="1">
                  <c:v>17.472503887056629</c:v>
                </c:pt>
                <c:pt idx="2">
                  <c:v>17.897840246828927</c:v>
                </c:pt>
                <c:pt idx="3">
                  <c:v>17.851338753092335</c:v>
                </c:pt>
                <c:pt idx="4">
                  <c:v>17.884531989240173</c:v>
                </c:pt>
              </c:numCache>
            </c:numRef>
          </c:val>
        </c:ser>
        <c:marker val="1"/>
        <c:axId val="120621312"/>
        <c:axId val="120623104"/>
      </c:lineChart>
      <c:catAx>
        <c:axId val="120621312"/>
        <c:scaling>
          <c:orientation val="minMax"/>
        </c:scaling>
        <c:axPos val="b"/>
        <c:numFmt formatCode="General" sourceLinked="1"/>
        <c:tickLblPos val="nextTo"/>
        <c:crossAx val="120623104"/>
        <c:crosses val="autoZero"/>
        <c:auto val="1"/>
        <c:lblAlgn val="ctr"/>
        <c:lblOffset val="100"/>
      </c:catAx>
      <c:valAx>
        <c:axId val="120623104"/>
        <c:scaling>
          <c:orientation val="minMax"/>
        </c:scaling>
        <c:axPos val="l"/>
        <c:majorGridlines/>
        <c:numFmt formatCode="#,##0.00" sourceLinked="1"/>
        <c:tickLblPos val="nextTo"/>
        <c:crossAx val="120621312"/>
        <c:crosses val="autoZero"/>
        <c:crossBetween val="between"/>
      </c:valAx>
    </c:plotArea>
    <c:legend>
      <c:legendPos val="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0.37102</cdr:x>
      <cdr:y>0.09511</cdr:y>
    </cdr:from>
    <cdr:to>
      <cdr:x>0.71731</cdr:x>
      <cdr:y>0.17391</cdr:y>
    </cdr:to>
    <cdr:sp macro="" textlink="">
      <cdr:nvSpPr>
        <cdr:cNvPr id="2" name="TextBox 1"/>
        <cdr:cNvSpPr txBox="1"/>
      </cdr:nvSpPr>
      <cdr:spPr>
        <a:xfrm xmlns:a="http://schemas.openxmlformats.org/drawingml/2006/main">
          <a:off x="2667000" y="444500"/>
          <a:ext cx="2489200" cy="368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cdr:txBody>
    </cdr:sp>
  </cdr:relSizeAnchor>
  <cdr:relSizeAnchor xmlns:cdr="http://schemas.openxmlformats.org/drawingml/2006/chartDrawing">
    <cdr:from>
      <cdr:x>0.2073</cdr:x>
      <cdr:y>0</cdr:y>
    </cdr:from>
    <cdr:to>
      <cdr:x>0.65971</cdr:x>
      <cdr:y>0.21915</cdr:y>
    </cdr:to>
    <cdr:sp macro="" textlink="">
      <cdr:nvSpPr>
        <cdr:cNvPr id="3" name="TextBox 2"/>
        <cdr:cNvSpPr txBox="1"/>
      </cdr:nvSpPr>
      <cdr:spPr>
        <a:xfrm xmlns:a="http://schemas.openxmlformats.org/drawingml/2006/main">
          <a:off x="1232116" y="0"/>
          <a:ext cx="2688956" cy="7848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b="1"/>
            <a:t>Figure</a:t>
          </a:r>
          <a:r>
            <a:rPr lang="en-US" sz="1200" b="1" baseline="0"/>
            <a:t> 4 - </a:t>
          </a:r>
          <a:r>
            <a:rPr lang="en-US" sz="1200" b="1"/>
            <a:t>Percentage Energy Contribution</a:t>
          </a:r>
          <a:endParaRPr lang="en-US" sz="1200" b="1" baseline="0"/>
        </a:p>
        <a:p xmlns:a="http://schemas.openxmlformats.org/drawingml/2006/main">
          <a:pPr algn="ctr"/>
          <a:r>
            <a:rPr lang="en-US" sz="900" b="1"/>
            <a:t>   (Hydro </a:t>
          </a:r>
          <a:r>
            <a:rPr lang="en-US" sz="900" b="1" baseline="0"/>
            <a:t>&amp; Diesel)</a:t>
          </a:r>
          <a:endParaRPr lang="en-US" sz="900" b="1"/>
        </a:p>
      </cdr:txBody>
    </cdr:sp>
  </cdr:relSizeAnchor>
</c:userShapes>
</file>

<file path=word/drawings/drawing2.xml><?xml version="1.0" encoding="utf-8"?>
<c:userShapes xmlns:c="http://schemas.openxmlformats.org/drawingml/2006/chart">
  <cdr:relSizeAnchor xmlns:cdr="http://schemas.openxmlformats.org/drawingml/2006/chartDrawing">
    <cdr:from>
      <cdr:x>0.18328</cdr:x>
      <cdr:y>0.05433</cdr:y>
    </cdr:from>
    <cdr:to>
      <cdr:x>0.80902</cdr:x>
      <cdr:y>0.17305</cdr:y>
    </cdr:to>
    <cdr:sp macro="" textlink="">
      <cdr:nvSpPr>
        <cdr:cNvPr id="2" name="TextBox 1"/>
        <cdr:cNvSpPr txBox="1"/>
      </cdr:nvSpPr>
      <cdr:spPr>
        <a:xfrm xmlns:a="http://schemas.openxmlformats.org/drawingml/2006/main">
          <a:off x="1231250" y="191784"/>
          <a:ext cx="4203700" cy="419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t>Figure 5 - Total Energy Generated,</a:t>
          </a:r>
          <a:r>
            <a:rPr lang="en-US" sz="1200" b="1" baseline="0"/>
            <a:t> Delivered and Sold</a:t>
          </a:r>
          <a:endParaRPr lang="en-US" sz="1200" b="1"/>
        </a:p>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0.37751</cdr:x>
      <cdr:y>0.105</cdr:y>
    </cdr:from>
    <cdr:to>
      <cdr:x>0.48112</cdr:x>
      <cdr:y>0.363</cdr:y>
    </cdr:to>
    <cdr:sp macro="" textlink="">
      <cdr:nvSpPr>
        <cdr:cNvPr id="2" name="TextBox 1"/>
        <cdr:cNvSpPr txBox="1"/>
      </cdr:nvSpPr>
      <cdr:spPr>
        <a:xfrm xmlns:a="http://schemas.openxmlformats.org/drawingml/2006/main">
          <a:off x="3331536" y="3721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0.24308</cdr:x>
      <cdr:y>0.02726</cdr:y>
    </cdr:from>
    <cdr:to>
      <cdr:x>0.71648</cdr:x>
      <cdr:y>0.13611</cdr:y>
    </cdr:to>
    <cdr:sp macro="" textlink="">
      <cdr:nvSpPr>
        <cdr:cNvPr id="2" name="TextBox 1"/>
        <cdr:cNvSpPr txBox="1"/>
      </cdr:nvSpPr>
      <cdr:spPr>
        <a:xfrm xmlns:a="http://schemas.openxmlformats.org/drawingml/2006/main">
          <a:off x="1371600" y="76200"/>
          <a:ext cx="2671217" cy="3042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4661-0400-4698-BF7E-3A13BBA6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7586</Words>
  <Characters>43244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DOMLEC’s Annual Performance Report 2016</vt:lpstr>
    </vt:vector>
  </TitlesOfParts>
  <Company/>
  <LinksUpToDate>false</LinksUpToDate>
  <CharactersWithSpaces>50729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DOMLEC’s Annual Performance Report 2016</dc:title>
  <dc:creator>JustinnK</dc:creator>
  <cp:lastModifiedBy>Connie Joseph</cp:lastModifiedBy>
  <cp:revision>3</cp:revision>
  <cp:lastPrinted>2017-07-19T16:40:00Z</cp:lastPrinted>
  <dcterms:created xsi:type="dcterms:W3CDTF">2018-03-19T16:08:00Z</dcterms:created>
  <dcterms:modified xsi:type="dcterms:W3CDTF">2018-03-19T16:10:00Z</dcterms:modified>
</cp:coreProperties>
</file>